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288"/>
        <w:jc w:val="center"/>
        <w:rPr>
          <w:rFonts w:ascii="Arial" w:hAnsi="Arial" w:cs="Arial"/>
          <w:b/>
          <w:b/>
          <w:bCs/>
          <w:color w:val="000000" w:themeColor="text1"/>
          <w:sz w:val="20"/>
          <w:szCs w:val="20"/>
        </w:rPr>
      </w:pPr>
      <w:r>
        <w:rPr>
          <w:rFonts w:cs="Arial" w:ascii="Arial" w:hAnsi="Arial"/>
          <w:b/>
          <w:bCs/>
          <w:color w:val="000000" w:themeColor="text1"/>
          <w:sz w:val="20"/>
          <w:szCs w:val="20"/>
        </w:rPr>
      </w:r>
    </w:p>
    <w:p>
      <w:pPr>
        <w:pStyle w:val="Normal"/>
        <w:spacing w:lineRule="auto" w:line="276" w:before="0" w:after="288"/>
        <w:jc w:val="center"/>
        <w:rPr>
          <w:rFonts w:ascii="Arial" w:hAnsi="Arial" w:cs="Arial"/>
          <w:b/>
          <w:b/>
          <w:bCs/>
          <w:color w:val="000000" w:themeColor="text1"/>
          <w:sz w:val="20"/>
          <w:szCs w:val="20"/>
        </w:rPr>
      </w:pPr>
      <w:r>
        <w:rPr>
          <w:rFonts w:cs="Times New Roman" w:ascii="Times New Roman" w:hAnsi="Times New Roman"/>
          <w:b/>
          <w:bCs/>
          <w:color w:val="000000" w:themeColor="text1"/>
          <w:sz w:val="22"/>
          <w:szCs w:val="22"/>
        </w:rPr>
        <w:t>ANEXO II – MINUTA DE CONTRATO</w:t>
      </w:r>
      <w:r>
        <w:rPr>
          <w:rFonts w:cs="Arial" w:ascii="Arial" w:hAnsi="Arial"/>
          <w:b/>
          <w:bCs/>
          <w:color w:val="000000" w:themeColor="text1"/>
          <w:sz w:val="20"/>
          <w:szCs w:val="20"/>
        </w:rPr>
        <w:br/>
        <w:t>Lei nº 14.133, de 1º de abril de 2021</w:t>
        <w:br/>
        <w:t>SERVIÇOS – LICITAÇÃO</w:t>
      </w:r>
    </w:p>
    <w:p>
      <w:pPr>
        <w:pStyle w:val="Normal"/>
        <w:spacing w:lineRule="auto" w:line="276" w:before="120" w:after="288"/>
        <w:ind w:firstLine="709"/>
        <w:jc w:val="center"/>
        <w:rPr>
          <w:rFonts w:ascii="Arial" w:hAnsi="Arial" w:cs="Arial"/>
          <w:b/>
          <w:b/>
          <w:bCs/>
          <w:color w:val="000000" w:themeColor="text1"/>
          <w:sz w:val="20"/>
          <w:szCs w:val="20"/>
        </w:rPr>
      </w:pPr>
      <w:r>
        <w:rPr>
          <w:rFonts w:cs="Arial" w:ascii="Arial" w:hAnsi="Arial"/>
          <w:b/>
          <w:bCs/>
          <w:color w:val="000000" w:themeColor="text1"/>
          <w:sz w:val="20"/>
          <w:szCs w:val="20"/>
        </w:rPr>
        <w:drawing>
          <wp:anchor behindDoc="0" distT="0" distB="0" distL="114300" distR="114300" simplePos="0" locked="0" layoutInCell="1"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76" w:before="120" w:after="288"/>
        <w:ind w:firstLine="709"/>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276" w:before="120" w:after="288"/>
        <w:ind w:firstLine="709"/>
        <w:jc w:val="center"/>
        <w:rPr>
          <w:rFonts w:ascii="Arial" w:hAnsi="Arial" w:cs="Arial"/>
          <w:b/>
          <w:b/>
          <w:i/>
          <w:i/>
          <w:color w:val="FF0000"/>
          <w:sz w:val="20"/>
          <w:szCs w:val="20"/>
        </w:rPr>
      </w:pPr>
      <w:r>
        <w:rPr>
          <w:rFonts w:cs="Arial" w:ascii="Arial" w:hAnsi="Arial"/>
          <w:b/>
          <w:i/>
          <w:color w:val="FF0000"/>
          <w:sz w:val="20"/>
          <w:szCs w:val="20"/>
        </w:rPr>
      </w:r>
    </w:p>
    <w:p>
      <w:pPr>
        <w:pStyle w:val="Western"/>
        <w:keepLines/>
        <w:shd w:val="clear" w:fill="FFFFFF"/>
        <w:spacing w:before="0" w:after="0"/>
        <w:jc w:val="center"/>
        <w:rPr>
          <w:sz w:val="22"/>
          <w:szCs w:val="22"/>
        </w:rPr>
      </w:pPr>
      <w:r>
        <w:rPr>
          <w:b/>
          <w:bCs/>
          <w:sz w:val="22"/>
          <w:szCs w:val="22"/>
          <w:u w:val="none" w:color="000000"/>
        </w:rPr>
        <w:t>MINISTÉRIO DA DEFESA</w:t>
      </w:r>
    </w:p>
    <w:p>
      <w:pPr>
        <w:pStyle w:val="Western"/>
        <w:keepLines/>
        <w:shd w:val="clear" w:fill="FFFFFF"/>
        <w:spacing w:before="0" w:after="0"/>
        <w:jc w:val="center"/>
        <w:rPr>
          <w:sz w:val="22"/>
          <w:szCs w:val="22"/>
        </w:rPr>
      </w:pPr>
      <w:r>
        <w:rPr>
          <w:b/>
          <w:bCs/>
          <w:sz w:val="22"/>
          <w:szCs w:val="22"/>
          <w:u w:val="none" w:color="000000"/>
        </w:rPr>
        <w:t>EXÉRCITO BRASILEIRO</w:t>
      </w:r>
    </w:p>
    <w:p>
      <w:pPr>
        <w:pStyle w:val="Western"/>
        <w:keepLines/>
        <w:shd w:val="clear" w:fill="FFFFFF"/>
        <w:spacing w:before="0" w:after="0"/>
        <w:jc w:val="center"/>
        <w:rPr>
          <w:sz w:val="22"/>
          <w:szCs w:val="22"/>
        </w:rPr>
      </w:pPr>
      <w:r>
        <w:rPr>
          <w:b/>
          <w:bCs/>
          <w:sz w:val="22"/>
          <w:szCs w:val="22"/>
          <w:u w:val="none" w:color="000000"/>
        </w:rPr>
        <w:t>8º BATALHÃO DE MANUTENÇÃO DE SELVA</w:t>
      </w:r>
    </w:p>
    <w:p>
      <w:pPr>
        <w:pStyle w:val="Normal"/>
        <w:keepNext w:val="true"/>
        <w:keepLines/>
        <w:spacing w:lineRule="auto" w:line="276" w:before="0" w:after="288"/>
        <w:jc w:val="center"/>
        <w:rPr>
          <w:color w:val="000000"/>
        </w:rPr>
      </w:pPr>
      <w:r>
        <w:rPr>
          <w:rFonts w:eastAsia="Times New Roman" w:cs="Times New Roman" w:ascii="Times New Roman" w:hAnsi="Times New Roman"/>
          <w:b/>
          <w:bCs/>
          <w:i/>
          <w:color w:val="000000"/>
          <w:sz w:val="22"/>
          <w:szCs w:val="22"/>
        </w:rPr>
        <w:t>(8º Pel R Rep Auto/8ª RM/1946)</w:t>
      </w:r>
    </w:p>
    <w:p>
      <w:pPr>
        <w:pStyle w:val="Normal"/>
        <w:spacing w:lineRule="auto" w:line="312" w:before="120" w:after="288"/>
        <w:ind w:firstLine="709"/>
        <w:jc w:val="center"/>
        <w:rPr>
          <w:rFonts w:ascii="Arial" w:hAnsi="Arial" w:cs="Arial"/>
          <w:bCs/>
          <w:color w:val="000000"/>
          <w:sz w:val="20"/>
          <w:szCs w:val="20"/>
        </w:rPr>
      </w:pPr>
      <w:r>
        <w:rPr>
          <w:rFonts w:eastAsia="Times New Roman" w:cs="Arial" w:ascii="Arial" w:hAnsi="Arial"/>
          <w:b/>
          <w:bCs/>
          <w:i/>
          <w:color w:val="000000"/>
          <w:sz w:val="20"/>
          <w:szCs w:val="20"/>
        </w:rPr>
        <w:t xml:space="preserve">(Processo Administrativo n° </w:t>
      </w:r>
      <w:r>
        <w:rPr>
          <w:rStyle w:val="Fontepargpadro"/>
          <w:rFonts w:eastAsia="Times New Roman" w:cs="Times New Roman" w:ascii="Times New Roman" w:hAnsi="Times New Roman"/>
          <w:b/>
          <w:bCs/>
          <w:i w:val="false"/>
          <w:caps w:val="false"/>
          <w:smallCaps w:val="false"/>
          <w:color w:val="00000A"/>
          <w:spacing w:val="0"/>
          <w:kern w:val="2"/>
          <w:sz w:val="24"/>
          <w:szCs w:val="24"/>
          <w:highlight w:val="white"/>
          <w:lang w:val="pt-BR" w:eastAsia="zh-CN" w:bidi="ar-SA"/>
        </w:rPr>
        <w:t>64622.003365/2024-37</w:t>
      </w:r>
      <w:r>
        <w:rPr>
          <w:rFonts w:eastAsia="Times New Roman" w:cs="Arial" w:ascii="Arial" w:hAnsi="Arial"/>
          <w:b/>
          <w:bCs/>
          <w:i/>
          <w:color w:val="000000"/>
          <w:sz w:val="20"/>
          <w:szCs w:val="20"/>
        </w:rPr>
        <w:t>)</w:t>
      </w:r>
    </w:p>
    <w:p>
      <w:pPr>
        <w:pStyle w:val="Prembulo"/>
        <w:spacing w:lineRule="auto" w:line="312" w:before="480" w:after="288"/>
        <w:ind w:left="4253" w:right="-170" w:hanging="0"/>
        <w:rPr>
          <w:bCs w:val="false"/>
        </w:rPr>
      </w:pPr>
      <w:r>
        <w:rPr>
          <w:bCs w:val="false"/>
        </w:rPr>
        <w:t xml:space="preserve">CONTRATO ADMINISTRATIVO Nº ......../...., QUE FAZEM ENTRE SI A UNIÃO, POR INTERMÉDIO DO (A) ......................................................... E ............................................................. </w:t>
      </w:r>
    </w:p>
    <w:p>
      <w:pPr>
        <w:pStyle w:val="Normal"/>
        <w:spacing w:lineRule="auto" w:line="276" w:before="120" w:after="120"/>
        <w:ind w:firstLine="1418"/>
        <w:jc w:val="both"/>
        <w:rPr>
          <w:rFonts w:ascii="Arial" w:hAnsi="Arial" w:eastAsia="Arial" w:cs="Arial"/>
          <w:sz w:val="20"/>
          <w:szCs w:val="20"/>
        </w:rPr>
      </w:pPr>
      <w:r>
        <w:rPr>
          <w:rFonts w:eastAsia="Arial" w:cs="Times New Roman" w:ascii="Times New Roman" w:hAnsi="Times New Roman"/>
          <w:b w:val="false"/>
          <w:bCs w:val="false"/>
          <w:i w:val="false"/>
          <w:iCs w:val="false"/>
          <w:color w:val="000000"/>
          <w:sz w:val="22"/>
          <w:szCs w:val="22"/>
        </w:rPr>
        <w:t xml:space="preserve">A União, por intermédio do 8º BATALHÃO DE MANUTENÇÃO DE SELVA (8º B Mnt Sl), com sede na Av. Pedro Álvares Cabral, nº 1106, Souza, na cidade de Belém/PA, inscrito no CNPJ sob o nº 09.609.161/0001-51, neste ato representado pelo Sr. Coronel Marcus Vinicius Lopes Rodrigues – Ordenador de Despesas do 8º B Mnt Sl, nomeado pela Portaria nº 658, publicada no DOU Nº 137 , de 22 de julho de 2021, portador da Cédula de Identidade EB nº 0858676430, CPF nº 201.716.878-50 doravante denominado simplesmente CONTRATANTE, e a empresa XXXX, inscrita no CNPJ nº XXXX, com sede na XXXX, CEP XXXX, no Município de XXXX, denominada CONTRATADA, neste ato representada pelo Senhor XXXX, portador da Cédula de Identidade nº XXXX e CPF nº XXXX, tendo em vista o que consta no Processo nº </w:t>
      </w:r>
      <w:r>
        <w:rPr>
          <w:rStyle w:val="Fontepargpadro"/>
          <w:rFonts w:eastAsia="Times New Roman" w:cs="Times New Roman" w:ascii="Times New Roman" w:hAnsi="Times New Roman"/>
          <w:b w:val="false"/>
          <w:bCs w:val="false"/>
          <w:i w:val="false"/>
          <w:iCs w:val="false"/>
          <w:caps w:val="false"/>
          <w:smallCaps w:val="false"/>
          <w:color w:val="00000A"/>
          <w:spacing w:val="0"/>
          <w:kern w:val="2"/>
          <w:sz w:val="24"/>
          <w:szCs w:val="24"/>
          <w:highlight w:val="white"/>
          <w:lang w:val="pt-BR" w:eastAsia="zh-CN" w:bidi="ar-SA"/>
        </w:rPr>
        <w:t>64622.003365/2024-37</w:t>
      </w:r>
      <w:r>
        <w:rPr>
          <w:rFonts w:eastAsia="Arial" w:cs="Times New Roman" w:ascii="Times New Roman" w:hAnsi="Times New Roman"/>
          <w:b w:val="false"/>
          <w:bCs w:val="false"/>
          <w:i w:val="false"/>
          <w:iCs w:val="false"/>
          <w:color w:val="000000"/>
          <w:sz w:val="22"/>
          <w:szCs w:val="22"/>
        </w:rPr>
        <w:t xml:space="preserve"> e em observância às disposições da Lei nº 14.133, de 1º de abril de 2021, e demais legislação aplicável, resolvem celebrar o presente Termo de Contrato, decorrente do Pregão Eletrônico nº 90015/2024, mediante as cláusulas e condições a seguir enunciadas.</w:t>
      </w:r>
    </w:p>
    <w:p>
      <w:pPr>
        <w:pStyle w:val="Nivel01"/>
        <w:numPr>
          <w:ilvl w:val="0"/>
          <w:numId w:val="129"/>
        </w:numPr>
        <w:rPr>
          <w:color w:val="FFFFFF" w:themeColor="background1"/>
        </w:rPr>
      </w:pPr>
      <w:r>
        <w:rPr/>
        <w:t>CLÁUSULA PRIMEIRA – OBJETO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 e II</w:t>
      </w:r>
      <w:r>
        <w:rPr>
          <w:rStyle w:val="LinkdaInternet"/>
        </w:rPr>
        <w:fldChar w:fldCharType="end"/>
      </w:r>
      <w:r>
        <w:rPr/>
        <w:t>)</w:t>
      </w:r>
    </w:p>
    <w:p>
      <w:pPr>
        <w:pStyle w:val="Nivel2"/>
        <w:numPr>
          <w:ilvl w:val="1"/>
          <w:numId w:val="130"/>
        </w:numPr>
        <w:ind w:left="0" w:hanging="0"/>
        <w:rPr/>
      </w:pPr>
      <w:r>
        <w:rPr>
          <w:rFonts w:cs="Times New Roman" w:ascii="Times New Roman" w:hAnsi="Times New Roman"/>
          <w:color w:val="000000"/>
          <w:sz w:val="22"/>
          <w:szCs w:val="22"/>
        </w:rPr>
        <w:t xml:space="preserve">O objeto do presente instrumento é a contratação de serviços contínuos de Barbearia, que funcionará sob regime de cessão de uso para exercício de atividade de apoio, a título oneroso, de uma área da União jurisdicionada ao 8º Batalhão de Manutenção de Selva, a serem executados com regime de dedicação exclusiva de mão de obra , prestados nas condições estabelecidas no Termo de Referência, anexo do Edital. </w:t>
      </w:r>
    </w:p>
    <w:p>
      <w:pPr>
        <w:pStyle w:val="Nivel2"/>
        <w:numPr>
          <w:ilvl w:val="1"/>
          <w:numId w:val="131"/>
        </w:numPr>
        <w:ind w:left="0" w:hanging="0"/>
        <w:rPr/>
      </w:pPr>
      <w:r>
        <w:rPr/>
        <w:t>Objeto da contratação:</w:t>
      </w:r>
    </w:p>
    <w:p>
      <w:pPr>
        <w:pStyle w:val="Nivel2"/>
        <w:numPr>
          <w:ilvl w:val="0"/>
          <w:numId w:val="0"/>
        </w:numPr>
        <w:ind w:left="4969" w:hanging="0"/>
        <w:rPr/>
      </w:pPr>
      <w:r>
        <w:rPr/>
      </w:r>
    </w:p>
    <w:tbl>
      <w:tblPr>
        <w:tblW w:w="9645" w:type="dxa"/>
        <w:jc w:val="left"/>
        <w:tblInd w:w="0" w:type="dxa"/>
        <w:tblCellMar>
          <w:top w:w="55" w:type="dxa"/>
          <w:left w:w="55" w:type="dxa"/>
          <w:bottom w:w="55" w:type="dxa"/>
          <w:right w:w="55" w:type="dxa"/>
        </w:tblCellMar>
      </w:tblPr>
      <w:tblGrid>
        <w:gridCol w:w="733"/>
        <w:gridCol w:w="3122"/>
        <w:gridCol w:w="1927"/>
        <w:gridCol w:w="1928"/>
        <w:gridCol w:w="1935"/>
      </w:tblGrid>
      <w:tr>
        <w:trPr/>
        <w:tc>
          <w:tcPr>
            <w:tcW w:w="733" w:type="dxa"/>
            <w:tcBorders>
              <w:top w:val="single" w:sz="2" w:space="0" w:color="000000"/>
              <w:left w:val="single" w:sz="2" w:space="0" w:color="000000"/>
              <w:bottom w:val="single" w:sz="2" w:space="0" w:color="000000"/>
            </w:tcBorders>
          </w:tcPr>
          <w:p>
            <w:pPr>
              <w:pStyle w:val="Contedodatabela"/>
              <w:numPr>
                <w:ilvl w:val="0"/>
                <w:numId w:val="0"/>
              </w:numPr>
              <w:ind w:left="360" w:hanging="0"/>
              <w:rPr>
                <w:rFonts w:ascii="Times New Roman" w:hAnsi="Times New Roman"/>
                <w:sz w:val="22"/>
                <w:szCs w:val="22"/>
              </w:rPr>
            </w:pPr>
            <w:r>
              <w:rPr>
                <w:rFonts w:ascii="Times New Roman" w:hAnsi="Times New Roman"/>
                <w:sz w:val="22"/>
                <w:szCs w:val="22"/>
              </w:rPr>
              <w:t>ITEM</w:t>
            </w:r>
          </w:p>
        </w:tc>
        <w:tc>
          <w:tcPr>
            <w:tcW w:w="3122" w:type="dxa"/>
            <w:tcBorders>
              <w:top w:val="single" w:sz="2" w:space="0" w:color="000000"/>
              <w:left w:val="single" w:sz="2" w:space="0" w:color="000000"/>
              <w:bottom w:val="single" w:sz="2" w:space="0" w:color="000000"/>
            </w:tcBorders>
          </w:tcPr>
          <w:p>
            <w:pPr>
              <w:pStyle w:val="Contedodatabela"/>
              <w:numPr>
                <w:ilvl w:val="0"/>
                <w:numId w:val="0"/>
              </w:numPr>
              <w:ind w:left="360" w:hanging="0"/>
              <w:rPr>
                <w:rFonts w:ascii="Times New Roman" w:hAnsi="Times New Roman"/>
                <w:sz w:val="22"/>
                <w:szCs w:val="22"/>
              </w:rPr>
            </w:pPr>
            <w:r>
              <w:rPr>
                <w:rFonts w:ascii="Times New Roman" w:hAnsi="Times New Roman"/>
                <w:sz w:val="22"/>
                <w:szCs w:val="22"/>
              </w:rPr>
              <w:t>DESCRIÇÃO</w:t>
            </w:r>
          </w:p>
        </w:tc>
        <w:tc>
          <w:tcPr>
            <w:tcW w:w="1927" w:type="dxa"/>
            <w:tcBorders>
              <w:top w:val="single" w:sz="2" w:space="0" w:color="000000"/>
              <w:left w:val="single" w:sz="2" w:space="0" w:color="000000"/>
              <w:bottom w:val="single" w:sz="2" w:space="0" w:color="000000"/>
            </w:tcBorders>
          </w:tcPr>
          <w:p>
            <w:pPr>
              <w:pStyle w:val="Contedodatabela"/>
              <w:numPr>
                <w:ilvl w:val="0"/>
                <w:numId w:val="0"/>
              </w:numPr>
              <w:ind w:left="360" w:hanging="0"/>
              <w:rPr>
                <w:rFonts w:ascii="Times New Roman" w:hAnsi="Times New Roman"/>
                <w:sz w:val="22"/>
                <w:szCs w:val="22"/>
              </w:rPr>
            </w:pPr>
            <w:r>
              <w:rPr>
                <w:rFonts w:ascii="Times New Roman" w:hAnsi="Times New Roman"/>
                <w:sz w:val="22"/>
                <w:szCs w:val="22"/>
              </w:rPr>
              <w:t>UNIDADE</w:t>
            </w:r>
          </w:p>
        </w:tc>
        <w:tc>
          <w:tcPr>
            <w:tcW w:w="1928" w:type="dxa"/>
            <w:tcBorders>
              <w:top w:val="single" w:sz="2" w:space="0" w:color="000000"/>
              <w:left w:val="single" w:sz="2" w:space="0" w:color="000000"/>
              <w:bottom w:val="single" w:sz="2" w:space="0" w:color="000000"/>
            </w:tcBorders>
          </w:tcPr>
          <w:p>
            <w:pPr>
              <w:pStyle w:val="Contedodatabela"/>
              <w:numPr>
                <w:ilvl w:val="0"/>
                <w:numId w:val="0"/>
              </w:numPr>
              <w:ind w:left="360" w:hanging="0"/>
              <w:rPr>
                <w:rFonts w:ascii="Times New Roman" w:hAnsi="Times New Roman"/>
                <w:sz w:val="22"/>
                <w:szCs w:val="22"/>
              </w:rPr>
            </w:pPr>
            <w:r>
              <w:rPr>
                <w:rFonts w:ascii="Times New Roman" w:hAnsi="Times New Roman"/>
                <w:sz w:val="22"/>
                <w:szCs w:val="22"/>
              </w:rPr>
              <w:t>QTD</w:t>
            </w:r>
          </w:p>
        </w:tc>
        <w:tc>
          <w:tcPr>
            <w:tcW w:w="1935" w:type="dxa"/>
            <w:tcBorders>
              <w:top w:val="single" w:sz="2" w:space="0" w:color="000000"/>
              <w:left w:val="single" w:sz="2" w:space="0" w:color="000000"/>
              <w:bottom w:val="single" w:sz="2" w:space="0" w:color="000000"/>
              <w:right w:val="single" w:sz="2" w:space="0" w:color="000000"/>
            </w:tcBorders>
          </w:tcPr>
          <w:p>
            <w:pPr>
              <w:pStyle w:val="Normal"/>
              <w:numPr>
                <w:ilvl w:val="0"/>
                <w:numId w:val="0"/>
              </w:numPr>
              <w:ind w:left="360" w:hanging="0"/>
              <w:jc w:val="center"/>
              <w:rPr>
                <w:rFonts w:ascii="Times New Roman" w:hAnsi="Times New Roman"/>
                <w:sz w:val="22"/>
                <w:szCs w:val="22"/>
              </w:rPr>
            </w:pPr>
            <w:r>
              <w:rPr>
                <w:rFonts w:cs="Times New Roman" w:ascii="Times New Roman" w:hAnsi="Times New Roman"/>
                <w:b/>
                <w:sz w:val="22"/>
                <w:szCs w:val="22"/>
              </w:rPr>
              <w:t xml:space="preserve">VALOR </w:t>
            </w:r>
          </w:p>
          <w:p>
            <w:pPr>
              <w:pStyle w:val="Normal"/>
              <w:numPr>
                <w:ilvl w:val="0"/>
                <w:numId w:val="0"/>
              </w:numPr>
              <w:ind w:left="427" w:hanging="0"/>
              <w:jc w:val="center"/>
              <w:rPr>
                <w:rFonts w:ascii="Times New Roman" w:hAnsi="Times New Roman"/>
                <w:sz w:val="22"/>
                <w:szCs w:val="22"/>
              </w:rPr>
            </w:pPr>
            <w:r>
              <w:rPr>
                <w:rFonts w:cs="Times New Roman" w:ascii="Times New Roman" w:hAnsi="Times New Roman"/>
                <w:b/>
                <w:sz w:val="22"/>
                <w:szCs w:val="22"/>
              </w:rPr>
              <w:t>ESTIMADO (MÍNIMO)</w:t>
            </w:r>
          </w:p>
        </w:tc>
      </w:tr>
      <w:tr>
        <w:trPr/>
        <w:tc>
          <w:tcPr>
            <w:tcW w:w="733" w:type="dxa"/>
            <w:tcBorders>
              <w:left w:val="single" w:sz="2" w:space="0" w:color="000000"/>
              <w:bottom w:val="single" w:sz="2" w:space="0" w:color="000000"/>
            </w:tcBorders>
          </w:tcPr>
          <w:p>
            <w:pPr>
              <w:pStyle w:val="Contedodatabela"/>
              <w:numPr>
                <w:ilvl w:val="0"/>
                <w:numId w:val="0"/>
              </w:numPr>
              <w:ind w:left="360" w:hanging="0"/>
              <w:rPr>
                <w:rFonts w:ascii="Times New Roman" w:hAnsi="Times New Roman"/>
                <w:sz w:val="22"/>
                <w:szCs w:val="22"/>
              </w:rPr>
            </w:pPr>
            <w:r>
              <w:rPr>
                <w:rFonts w:ascii="Times New Roman" w:hAnsi="Times New Roman"/>
                <w:sz w:val="22"/>
                <w:szCs w:val="22"/>
              </w:rPr>
              <w:t>1</w:t>
            </w:r>
          </w:p>
        </w:tc>
        <w:tc>
          <w:tcPr>
            <w:tcW w:w="3122" w:type="dxa"/>
            <w:tcBorders>
              <w:left w:val="single" w:sz="2" w:space="0" w:color="000000"/>
              <w:bottom w:val="single" w:sz="2" w:space="0" w:color="000000"/>
            </w:tcBorders>
          </w:tcPr>
          <w:p>
            <w:pPr>
              <w:pStyle w:val="Contedodatabela"/>
              <w:numPr>
                <w:ilvl w:val="0"/>
                <w:numId w:val="0"/>
              </w:numPr>
              <w:ind w:left="360" w:hanging="0"/>
              <w:rPr>
                <w:rFonts w:ascii="Times New Roman" w:hAnsi="Times New Roman"/>
                <w:sz w:val="22"/>
                <w:szCs w:val="22"/>
              </w:rPr>
            </w:pPr>
            <w:r>
              <w:rPr>
                <w:rFonts w:ascii="Times New Roman" w:hAnsi="Times New Roman"/>
                <w:sz w:val="22"/>
                <w:szCs w:val="22"/>
              </w:rPr>
              <w:t>Serviço de corte, unitário de cabelo, destinado a militares</w:t>
            </w:r>
          </w:p>
          <w:p>
            <w:pPr>
              <w:pStyle w:val="Contedodatabela"/>
              <w:numPr>
                <w:ilvl w:val="0"/>
                <w:numId w:val="0"/>
              </w:numPr>
              <w:ind w:left="360" w:hanging="0"/>
              <w:rPr>
                <w:rFonts w:ascii="Times New Roman" w:hAnsi="Times New Roman"/>
                <w:sz w:val="22"/>
                <w:szCs w:val="22"/>
              </w:rPr>
            </w:pPr>
            <w:r>
              <w:rPr>
                <w:rFonts w:ascii="Times New Roman" w:hAnsi="Times New Roman"/>
                <w:sz w:val="22"/>
                <w:szCs w:val="22"/>
              </w:rPr>
              <w:t>do sexo masculino, padrão de corte conforme regulamento</w:t>
            </w:r>
          </w:p>
          <w:p>
            <w:pPr>
              <w:pStyle w:val="Contedodatabela"/>
              <w:numPr>
                <w:ilvl w:val="0"/>
                <w:numId w:val="0"/>
              </w:numPr>
              <w:ind w:left="360" w:hanging="0"/>
              <w:rPr>
                <w:rFonts w:ascii="Times New Roman" w:hAnsi="Times New Roman"/>
                <w:sz w:val="22"/>
                <w:szCs w:val="22"/>
              </w:rPr>
            </w:pPr>
            <w:r>
              <w:rPr>
                <w:rFonts w:ascii="Times New Roman" w:hAnsi="Times New Roman"/>
                <w:sz w:val="22"/>
                <w:szCs w:val="22"/>
              </w:rPr>
              <w:t>do Exército.</w:t>
            </w:r>
          </w:p>
        </w:tc>
        <w:tc>
          <w:tcPr>
            <w:tcW w:w="1927" w:type="dxa"/>
            <w:tcBorders>
              <w:left w:val="single" w:sz="2" w:space="0" w:color="000000"/>
              <w:bottom w:val="single" w:sz="2" w:space="0" w:color="000000"/>
            </w:tcBorders>
          </w:tcPr>
          <w:p>
            <w:pPr>
              <w:pStyle w:val="Contedodatabela"/>
              <w:numPr>
                <w:ilvl w:val="0"/>
                <w:numId w:val="0"/>
              </w:numPr>
              <w:ind w:left="360" w:hanging="0"/>
              <w:rPr>
                <w:rFonts w:ascii="Times New Roman" w:hAnsi="Times New Roman"/>
                <w:sz w:val="22"/>
                <w:szCs w:val="22"/>
              </w:rPr>
            </w:pPr>
            <w:r>
              <w:rPr>
                <w:rFonts w:ascii="Times New Roman" w:hAnsi="Times New Roman"/>
                <w:sz w:val="22"/>
                <w:szCs w:val="22"/>
              </w:rPr>
              <w:t>Und</w:t>
            </w:r>
          </w:p>
        </w:tc>
        <w:tc>
          <w:tcPr>
            <w:tcW w:w="1928" w:type="dxa"/>
            <w:tcBorders>
              <w:left w:val="single" w:sz="2" w:space="0" w:color="000000"/>
              <w:bottom w:val="single" w:sz="2" w:space="0" w:color="000000"/>
            </w:tcBorders>
          </w:tcPr>
          <w:p>
            <w:pPr>
              <w:pStyle w:val="Contedodatabela"/>
              <w:numPr>
                <w:ilvl w:val="0"/>
                <w:numId w:val="0"/>
              </w:numPr>
              <w:ind w:left="360" w:hanging="0"/>
              <w:rPr>
                <w:rFonts w:ascii="Times New Roman" w:hAnsi="Times New Roman"/>
                <w:sz w:val="22"/>
                <w:szCs w:val="22"/>
              </w:rPr>
            </w:pPr>
            <w:r>
              <w:rPr>
                <w:rFonts w:ascii="Times New Roman" w:hAnsi="Times New Roman"/>
                <w:sz w:val="22"/>
                <w:szCs w:val="22"/>
              </w:rPr>
              <w:t>1</w:t>
            </w:r>
          </w:p>
        </w:tc>
        <w:tc>
          <w:tcPr>
            <w:tcW w:w="1935" w:type="dxa"/>
            <w:tcBorders>
              <w:left w:val="single" w:sz="2" w:space="0" w:color="000000"/>
              <w:bottom w:val="single" w:sz="2" w:space="0" w:color="000000"/>
              <w:right w:val="single" w:sz="2" w:space="0" w:color="000000"/>
            </w:tcBorders>
          </w:tcPr>
          <w:p>
            <w:pPr>
              <w:pStyle w:val="Contedodatabela"/>
              <w:numPr>
                <w:ilvl w:val="0"/>
                <w:numId w:val="0"/>
              </w:numPr>
              <w:ind w:left="360" w:hanging="0"/>
              <w:rPr>
                <w:rFonts w:ascii="Times New Roman" w:hAnsi="Times New Roman"/>
                <w:sz w:val="22"/>
                <w:szCs w:val="22"/>
              </w:rPr>
            </w:pPr>
            <w:r>
              <w:rPr>
                <w:rFonts w:ascii="Times New Roman" w:hAnsi="Times New Roman"/>
                <w:sz w:val="22"/>
                <w:szCs w:val="22"/>
              </w:rPr>
              <w:t>R$ 20,72 (Vinte reais e setenta e dois centavos)</w:t>
            </w:r>
          </w:p>
        </w:tc>
      </w:tr>
    </w:tbl>
    <w:p>
      <w:pPr>
        <w:pStyle w:val="Normal"/>
        <w:rPr/>
      </w:pPr>
      <w:r>
        <w:rPr/>
      </w:r>
    </w:p>
    <w:p>
      <w:pPr>
        <w:pStyle w:val="Normal"/>
        <w:rPr/>
      </w:pPr>
      <w:r>
        <w:rPr/>
      </w:r>
    </w:p>
    <w:tbl>
      <w:tblPr>
        <w:tblW w:w="9498" w:type="dxa"/>
        <w:jc w:val="left"/>
        <w:tblInd w:w="-5" w:type="dxa"/>
        <w:tblCellMar>
          <w:top w:w="0" w:type="dxa"/>
          <w:left w:w="108" w:type="dxa"/>
          <w:bottom w:w="0" w:type="dxa"/>
          <w:right w:w="108" w:type="dxa"/>
        </w:tblCellMar>
        <w:tblLook w:val="04a0" w:noHBand="0" w:noVBand="1" w:firstColumn="1" w:lastRow="0" w:lastColumn="0" w:firstRow="1"/>
      </w:tblPr>
      <w:tblGrid>
        <w:gridCol w:w="794"/>
        <w:gridCol w:w="2908"/>
        <w:gridCol w:w="1692"/>
        <w:gridCol w:w="1549"/>
        <w:gridCol w:w="2555"/>
      </w:tblGrid>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ITEM</w:t>
            </w:r>
          </w:p>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r>
          </w:p>
        </w:tc>
        <w:tc>
          <w:tcPr>
            <w:tcW w:w="2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692"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b/>
                <w:b/>
                <w:sz w:val="22"/>
                <w:szCs w:val="22"/>
              </w:rPr>
            </w:pPr>
            <w:r>
              <w:rPr>
                <w:rFonts w:eastAsia="ＭＳ 明朝" w:cs="Times New Roman" w:ascii="Times New Roman" w:hAnsi="Times New Roman" w:eastAsiaTheme="minorEastAsia"/>
                <w:b/>
                <w:sz w:val="22"/>
                <w:szCs w:val="22"/>
                <w:lang w:eastAsia="en-US"/>
              </w:rPr>
              <w:t xml:space="preserve">VALOR </w:t>
            </w:r>
            <w:r>
              <w:rPr>
                <w:rFonts w:cs="Times New Roman" w:ascii="Times New Roman" w:hAnsi="Times New Roman"/>
                <w:b/>
                <w:sz w:val="22"/>
                <w:szCs w:val="22"/>
              </w:rPr>
              <w:t>MENSAL ESTIMADO</w:t>
            </w:r>
          </w:p>
          <w:p>
            <w:pPr>
              <w:pStyle w:val="Normal"/>
              <w:jc w:val="center"/>
              <w:rPr>
                <w:rFonts w:ascii="Times New Roman" w:hAnsi="Times New Roman" w:cs="Times New Roman"/>
                <w:sz w:val="22"/>
                <w:szCs w:val="22"/>
              </w:rPr>
            </w:pPr>
            <w:r>
              <w:rPr>
                <w:rFonts w:cs="Times New Roman" w:ascii="Times New Roman" w:hAnsi="Times New Roman"/>
                <w:sz w:val="22"/>
                <w:szCs w:val="22"/>
              </w:rPr>
              <w:t>(</w:t>
            </w:r>
            <w:r>
              <w:rPr>
                <w:rFonts w:cs="Times New Roman" w:ascii="Times New Roman" w:hAnsi="Times New Roman"/>
                <w:b/>
                <w:bCs/>
                <w:sz w:val="22"/>
                <w:szCs w:val="22"/>
              </w:rPr>
              <w:t>MÍNIMO)</w:t>
            </w:r>
          </w:p>
        </w:tc>
        <w:tc>
          <w:tcPr>
            <w:tcW w:w="1549" w:type="dxa"/>
            <w:tcBorders>
              <w:top w:val="single" w:sz="4" w:space="0" w:color="000000"/>
              <w:left w:val="single" w:sz="4" w:space="0" w:color="000000"/>
              <w:bottom w:val="single" w:sz="4" w:space="0" w:color="000000"/>
              <w:right w:val="single" w:sz="4" w:space="0" w:color="000000"/>
            </w:tcBorders>
          </w:tcPr>
          <w:p>
            <w:pPr>
              <w:pStyle w:val="Normal"/>
              <w:ind w:left="304" w:hanging="304"/>
              <w:jc w:val="center"/>
              <w:rPr>
                <w:rFonts w:ascii="Times New Roman" w:hAnsi="Times New Roman" w:eastAsia="ＭＳ 明朝" w:cs="Times New Roman" w:eastAsiaTheme="minorEastAsia"/>
                <w:b/>
                <w:b/>
                <w:sz w:val="22"/>
                <w:szCs w:val="22"/>
                <w:lang w:eastAsia="en-US"/>
              </w:rPr>
            </w:pPr>
            <w:r>
              <w:rPr>
                <w:rFonts w:cs="Times New Roman" w:ascii="Times New Roman" w:hAnsi="Times New Roman"/>
                <w:b/>
                <w:sz w:val="22"/>
                <w:szCs w:val="22"/>
              </w:rPr>
              <w:t>QUANTI-DADE</w:t>
            </w:r>
          </w:p>
        </w:tc>
        <w:tc>
          <w:tcPr>
            <w:tcW w:w="2555"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cs="Times New Roman"/>
                <w:b/>
                <w:b/>
                <w:sz w:val="22"/>
                <w:szCs w:val="22"/>
              </w:rPr>
            </w:pPr>
            <w:r>
              <w:rPr>
                <w:rFonts w:cs="Times New Roman" w:ascii="Times New Roman" w:hAnsi="Times New Roman"/>
                <w:b/>
                <w:sz w:val="22"/>
                <w:szCs w:val="22"/>
              </w:rPr>
              <w:t>VALOR TOTAL</w:t>
            </w:r>
          </w:p>
          <w:p>
            <w:pPr>
              <w:pStyle w:val="Normal"/>
              <w:ind w:left="111" w:hanging="44"/>
              <w:jc w:val="center"/>
              <w:rPr>
                <w:rFonts w:ascii="Times New Roman" w:hAnsi="Times New Roman" w:cs="Times New Roman"/>
                <w:b/>
                <w:b/>
                <w:sz w:val="22"/>
                <w:szCs w:val="22"/>
              </w:rPr>
            </w:pPr>
            <w:r>
              <w:rPr>
                <w:rFonts w:cs="Times New Roman" w:ascii="Times New Roman" w:hAnsi="Times New Roman"/>
                <w:b/>
                <w:sz w:val="22"/>
                <w:szCs w:val="22"/>
              </w:rPr>
              <w:t>ESTIMADO</w:t>
            </w:r>
          </w:p>
          <w:p>
            <w:pPr>
              <w:pStyle w:val="Normal"/>
              <w:ind w:left="73" w:hanging="73"/>
              <w:jc w:val="center"/>
              <w:rPr>
                <w:rFonts w:ascii="Times New Roman" w:hAnsi="Times New Roman" w:eastAsia="ＭＳ 明朝" w:cs="Times New Roman" w:eastAsiaTheme="minorEastAsia"/>
                <w:b/>
                <w:b/>
                <w:sz w:val="22"/>
                <w:szCs w:val="22"/>
                <w:lang w:eastAsia="en-US"/>
              </w:rPr>
            </w:pPr>
            <w:r>
              <w:rPr>
                <w:rFonts w:cs="Times New Roman" w:ascii="Times New Roman" w:hAnsi="Times New Roman"/>
                <w:b/>
                <w:sz w:val="22"/>
                <w:szCs w:val="22"/>
              </w:rPr>
              <w:t>(MINIMO)</w:t>
            </w:r>
          </w:p>
        </w:tc>
      </w:tr>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w:t>
            </w:r>
          </w:p>
        </w:tc>
        <w:tc>
          <w:tcPr>
            <w:tcW w:w="2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both"/>
              <w:rPr>
                <w:rFonts w:ascii="Arial" w:hAnsi="Arial" w:eastAsia="Arial" w:cs="Arial"/>
                <w:color w:val="000000"/>
                <w:sz w:val="20"/>
                <w:szCs w:val="20"/>
              </w:rPr>
            </w:pPr>
            <w:r>
              <w:rPr>
                <w:rFonts w:eastAsia="Arial" w:cs="Times New Roman" w:ascii="Times New Roman" w:hAnsi="Times New Roman"/>
                <w:color w:val="000000"/>
                <w:sz w:val="22"/>
                <w:szCs w:val="22"/>
              </w:rPr>
              <w:t>Cessão  de  Uso,  a  título  oneroso, de bem imóvel sob jurisdição do Exército Brasileiro, para funcionamento de uma BARBEARIA,  de área de 09,15</w:t>
            </w:r>
            <w:r>
              <w:rPr>
                <w:rFonts w:eastAsia="WenQuanYi Micro Hei" w:cs="Times New Roman" w:ascii="Times New Roman" w:hAnsi="Times New Roman"/>
                <w:color w:val="000000" w:themeColor="text1"/>
                <w:sz w:val="22"/>
                <w:szCs w:val="22"/>
                <w:lang w:eastAsia="zh-CN" w:bidi="hi-IN"/>
              </w:rPr>
              <w:t xml:space="preserve"> m² (nove metros quadrados e quinze centímetros quadrados) situada nas dependências do 8º Batalhão de Manutenção de Selva</w:t>
            </w:r>
            <w:r>
              <w:rPr>
                <w:rFonts w:eastAsia="Arial" w:cs="Times New Roman" w:ascii="Times New Roman" w:hAnsi="Times New Roman"/>
                <w:color w:val="000000"/>
                <w:sz w:val="22"/>
                <w:szCs w:val="22"/>
              </w:rPr>
              <w:t>, situada na Avenida Pedro Álvares Cabral, 1106, Souza, Belém – PA  – CEP: 66.613-150.</w:t>
            </w:r>
          </w:p>
        </w:tc>
        <w:tc>
          <w:tcPr>
            <w:tcW w:w="1692"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eastAsia="ＭＳ 明朝" w:cs="Times New Roman" w:eastAsiaTheme="minorEastAsia"/>
                <w:sz w:val="22"/>
                <w:szCs w:val="22"/>
                <w:lang w:eastAsia="en-US"/>
              </w:rPr>
            </w:pPr>
            <w:r>
              <w:rPr>
                <w:rFonts w:eastAsia="ＭＳ 明朝" w:cs="Times New Roman" w:ascii="Times New Roman" w:hAnsi="Times New Roman" w:eastAsiaTheme="minorEastAsia"/>
                <w:sz w:val="22"/>
                <w:szCs w:val="22"/>
                <w:lang w:eastAsia="en-US"/>
              </w:rPr>
              <w:t>R$ 538,21 (quinhentos e trinta e oito reais e oitenta e vinte um centavos)</w:t>
            </w:r>
          </w:p>
        </w:tc>
        <w:tc>
          <w:tcPr>
            <w:tcW w:w="1549"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eastAsia="ＭＳ 明朝" w:cs="Times New Roman" w:eastAsiaTheme="minorEastAsia"/>
                <w:sz w:val="22"/>
                <w:szCs w:val="22"/>
                <w:lang w:eastAsia="en-US"/>
              </w:rPr>
            </w:pPr>
            <w:r>
              <w:rPr>
                <w:rFonts w:cs="Times New Roman" w:ascii="Times New Roman" w:hAnsi="Times New Roman"/>
                <w:sz w:val="22"/>
                <w:szCs w:val="22"/>
              </w:rPr>
              <w:t>12 (doze) meses</w:t>
            </w:r>
          </w:p>
        </w:tc>
        <w:tc>
          <w:tcPr>
            <w:tcW w:w="2555" w:type="dxa"/>
            <w:tcBorders>
              <w:top w:val="single" w:sz="4" w:space="0" w:color="000000"/>
              <w:left w:val="single" w:sz="4" w:space="0" w:color="000000"/>
              <w:bottom w:val="single" w:sz="4" w:space="0" w:color="000000"/>
              <w:right w:val="single" w:sz="4" w:space="0" w:color="000000"/>
            </w:tcBorders>
          </w:tcPr>
          <w:p>
            <w:pPr>
              <w:pStyle w:val="Normal"/>
              <w:jc w:val="both"/>
              <w:rPr/>
            </w:pPr>
            <w:r>
              <w:rPr>
                <w:rFonts w:cs="Times New Roman" w:ascii="Times New Roman" w:hAnsi="Times New Roman"/>
                <w:sz w:val="22"/>
                <w:szCs w:val="22"/>
              </w:rPr>
              <w:t>R$ 6.458,52(seis mil e quatrocentos e cinquenta e oito reais e cinquenta e dois centavos).</w:t>
            </w:r>
          </w:p>
        </w:tc>
      </w:tr>
    </w:tbl>
    <w:p>
      <w:pPr>
        <w:pStyle w:val="Normal"/>
        <w:rPr/>
      </w:pPr>
      <w:r>
        <w:rPr/>
      </w:r>
    </w:p>
    <w:p>
      <w:pPr>
        <w:pStyle w:val="Normal"/>
        <w:rPr/>
      </w:pPr>
      <w:r>
        <w:rPr/>
      </w:r>
    </w:p>
    <w:p>
      <w:pPr>
        <w:pStyle w:val="Nivel2"/>
        <w:numPr>
          <w:ilvl w:val="1"/>
          <w:numId w:val="132"/>
        </w:numPr>
        <w:ind w:left="0" w:hanging="0"/>
        <w:rPr/>
      </w:pPr>
      <w:r>
        <w:rPr/>
        <w:t>Vinculam esta contratação, independentemente de transcrição:</w:t>
      </w:r>
    </w:p>
    <w:p>
      <w:pPr>
        <w:pStyle w:val="Nivel3"/>
        <w:numPr>
          <w:ilvl w:val="2"/>
          <w:numId w:val="133"/>
        </w:numPr>
        <w:ind w:left="284" w:hanging="0"/>
        <w:rPr/>
      </w:pPr>
      <w:r>
        <w:rPr/>
        <w:t>O Termo de Referência;</w:t>
      </w:r>
    </w:p>
    <w:p>
      <w:pPr>
        <w:pStyle w:val="Nivel3"/>
        <w:numPr>
          <w:ilvl w:val="2"/>
          <w:numId w:val="134"/>
        </w:numPr>
        <w:ind w:left="284" w:hanging="0"/>
        <w:rPr/>
      </w:pPr>
      <w:r>
        <w:rPr/>
        <w:t>O Edital da Licitação;</w:t>
      </w:r>
    </w:p>
    <w:p>
      <w:pPr>
        <w:pStyle w:val="Nivel3"/>
        <w:numPr>
          <w:ilvl w:val="2"/>
          <w:numId w:val="135"/>
        </w:numPr>
        <w:ind w:left="284" w:hanging="0"/>
        <w:rPr/>
      </w:pPr>
      <w:r>
        <w:rPr/>
        <w:t>A Proposta do contratado;</w:t>
      </w:r>
    </w:p>
    <w:p>
      <w:pPr>
        <w:pStyle w:val="Nivel3"/>
        <w:numPr>
          <w:ilvl w:val="2"/>
          <w:numId w:val="136"/>
        </w:numPr>
        <w:ind w:left="284" w:hanging="0"/>
        <w:rPr/>
      </w:pPr>
      <w:r>
        <w:rPr/>
        <w:t>Eventuais anexos dos documentos supracitados.</w:t>
      </w:r>
    </w:p>
    <w:p>
      <w:pPr>
        <w:pStyle w:val="Nivel01"/>
        <w:numPr>
          <w:ilvl w:val="0"/>
          <w:numId w:val="137"/>
        </w:numPr>
        <w:ind w:left="0" w:hanging="0"/>
        <w:rPr>
          <w:color w:val="FFFFFF" w:themeColor="background1"/>
        </w:rPr>
      </w:pPr>
      <w:r>
        <w:rPr/>
        <w:t>CLÁUSULA SEGUNDA – VIGÊNCIA E PRORROGAÇÃO</w:t>
      </w:r>
    </w:p>
    <w:p>
      <w:pPr>
        <w:pStyle w:val="Nivel2"/>
        <w:numPr>
          <w:ilvl w:val="1"/>
          <w:numId w:val="138"/>
        </w:numPr>
        <w:ind w:left="0" w:hanging="0"/>
        <w:rPr/>
      </w:pPr>
      <w:r>
        <w:rPr/>
        <w:t>O prazo de vigência da contratação</w:t>
      </w:r>
      <w:r>
        <w:rPr>
          <w:rFonts w:cs="Times New Roman" w:ascii="Times New Roman" w:hAnsi="Times New Roman"/>
          <w:bCs/>
          <w:i w:val="false"/>
          <w:iCs w:val="false"/>
          <w:color w:val="000000"/>
          <w:sz w:val="22"/>
          <w:szCs w:val="22"/>
        </w:rPr>
        <w:t xml:space="preserve"> é de 12 (doze) meses</w:t>
      </w:r>
      <w:r>
        <w:rPr>
          <w:color w:val="FF0000"/>
        </w:rPr>
        <w:t xml:space="preserve"> </w:t>
      </w:r>
      <w:r>
        <w:rPr/>
        <w:t xml:space="preserve">contados da </w:t>
      </w:r>
      <w:r>
        <w:rPr>
          <w:rFonts w:cs="Times New Roman" w:ascii="Times New Roman" w:hAnsi="Times New Roman"/>
          <w:bCs/>
          <w:i w:val="false"/>
          <w:iCs w:val="false"/>
          <w:color w:val="000000"/>
          <w:sz w:val="22"/>
          <w:szCs w:val="22"/>
        </w:rPr>
        <w:t>assinatura do contrato</w:t>
      </w:r>
      <w:r>
        <w:rPr>
          <w:i/>
          <w:color w:val="000000"/>
        </w:rPr>
        <w:t>,</w:t>
      </w:r>
      <w:r>
        <w:rPr>
          <w:i/>
          <w:color w:val="FF0000"/>
        </w:rPr>
        <w:t xml:space="preserve"> </w:t>
      </w:r>
      <w:r>
        <w:rPr/>
        <w:t xml:space="preserve">prorrogável sucessivamente por até 10 anos, na forma dos </w:t>
      </w:r>
      <w:r>
        <w:fldChar w:fldCharType="begin"/>
      </w:r>
      <w:r>
        <w:rPr>
          <w:rStyle w:val="LinkdaInternet"/>
        </w:rPr>
        <w:instrText> HYPERLINK "http://www.planalto.gov.br/ccivil_03/_ato2019-2022/2021/lei/L14133.htm" \l "art106"</w:instrText>
      </w:r>
      <w:r>
        <w:rPr>
          <w:rStyle w:val="LinkdaInternet"/>
        </w:rPr>
        <w:fldChar w:fldCharType="separate"/>
      </w:r>
      <w:r>
        <w:rPr>
          <w:rStyle w:val="LinkdaInternet"/>
        </w:rPr>
        <w:t>artigos 106 e 107 da Lei n° 14.133, de 2021.</w:t>
      </w:r>
      <w:r>
        <w:rPr>
          <w:rStyle w:val="LinkdaInternet"/>
        </w:rPr>
        <w:fldChar w:fldCharType="end"/>
      </w:r>
    </w:p>
    <w:p>
      <w:pPr>
        <w:pStyle w:val="Nivel2"/>
        <w:numPr>
          <w:ilvl w:val="1"/>
          <w:numId w:val="139"/>
        </w:numPr>
        <w:ind w:left="0" w:hanging="0"/>
        <w:rPr/>
      </w:pPr>
      <w:r>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pPr>
        <w:pStyle w:val="Nivel2"/>
        <w:numPr>
          <w:ilvl w:val="0"/>
          <w:numId w:val="0"/>
        </w:numPr>
        <w:ind w:left="5253" w:hanging="0"/>
        <w:rPr>
          <w:color w:val="auto"/>
        </w:rPr>
      </w:pPr>
      <w:r>
        <w:rPr/>
        <w:t>a) E</w:t>
      </w:r>
      <w:r>
        <w:rPr>
          <w:color w:val="auto"/>
        </w:rPr>
        <w:t>star formalmente demonstrado no processo que a forma de prestação dos serviços tem natureza continuada;</w:t>
      </w:r>
    </w:p>
    <w:p>
      <w:pPr>
        <w:pStyle w:val="Nivel2"/>
        <w:numPr>
          <w:ilvl w:val="0"/>
          <w:numId w:val="0"/>
        </w:numPr>
        <w:ind w:left="5253" w:hanging="0"/>
        <w:rPr>
          <w:color w:val="auto"/>
        </w:rPr>
      </w:pPr>
      <w:r>
        <w:rPr>
          <w:color w:val="auto"/>
        </w:rPr>
        <w:t xml:space="preserve">b) Seja juntado relatório que discorra sobre a execução do contrato, com informações de que os serviços tenham sido prestados regularmente;  </w:t>
      </w:r>
    </w:p>
    <w:p>
      <w:pPr>
        <w:pStyle w:val="Nivel2"/>
        <w:numPr>
          <w:ilvl w:val="0"/>
          <w:numId w:val="0"/>
        </w:numPr>
        <w:ind w:left="5253" w:hanging="0"/>
        <w:rPr>
          <w:color w:val="auto"/>
        </w:rPr>
      </w:pPr>
      <w:r>
        <w:rPr>
          <w:color w:val="auto"/>
        </w:rPr>
        <w:t xml:space="preserve">c) Seja juntada justificativa e motivo, por escrito, de que a Administração mantém interesse na realização do serviço;  </w:t>
      </w:r>
    </w:p>
    <w:p>
      <w:pPr>
        <w:pStyle w:val="Nivel2"/>
        <w:numPr>
          <w:ilvl w:val="0"/>
          <w:numId w:val="0"/>
        </w:numPr>
        <w:ind w:left="5253" w:hanging="0"/>
        <w:rPr>
          <w:color w:val="auto"/>
        </w:rPr>
      </w:pPr>
      <w:r>
        <w:rPr>
          <w:color w:val="auto"/>
        </w:rPr>
        <w:t xml:space="preserve">d) Haja manifestação expressa do contratado informando o interesse na prorrogação; </w:t>
      </w:r>
    </w:p>
    <w:p>
      <w:pPr>
        <w:pStyle w:val="Nivel2"/>
        <w:numPr>
          <w:ilvl w:val="0"/>
          <w:numId w:val="0"/>
        </w:numPr>
        <w:ind w:left="5253" w:hanging="0"/>
        <w:rPr>
          <w:color w:val="auto"/>
        </w:rPr>
      </w:pPr>
      <w:r>
        <w:rPr>
          <w:color w:val="auto"/>
        </w:rPr>
        <w:t>e) Seja comprovado que o contratado mantém as condições iniciais de habilitação.</w:t>
      </w:r>
    </w:p>
    <w:p>
      <w:pPr>
        <w:pStyle w:val="Nivel2"/>
        <w:numPr>
          <w:ilvl w:val="1"/>
          <w:numId w:val="140"/>
        </w:numPr>
        <w:ind w:left="0" w:hanging="0"/>
        <w:rPr/>
      </w:pPr>
      <w:r>
        <w:rPr/>
        <w:t>O contratado não tem direito subjetivo à prorrogação contratual.</w:t>
      </w:r>
    </w:p>
    <w:p>
      <w:pPr>
        <w:pStyle w:val="Nivel2"/>
        <w:numPr>
          <w:ilvl w:val="1"/>
          <w:numId w:val="141"/>
        </w:numPr>
        <w:ind w:left="0" w:hanging="0"/>
        <w:rPr/>
      </w:pPr>
      <w:r>
        <w:rPr/>
        <w:t xml:space="preserve">A prorrogação de contrato deverá ser promovida mediante celebração de termo aditivo. </w:t>
      </w:r>
    </w:p>
    <w:p>
      <w:pPr>
        <w:pStyle w:val="Nivel2"/>
        <w:numPr>
          <w:ilvl w:val="1"/>
          <w:numId w:val="142"/>
        </w:numPr>
        <w:ind w:left="0" w:hanging="0"/>
        <w:rPr/>
      </w:pPr>
      <w:r>
        <w:rPr/>
        <w:t>Nas eventuais prorrogações contratuais, os custos não renováveis já pagos ou amortizados ao longo do primeiro período de vigência da contratação deverão ser reduzidos ou eliminados como condição para a renovação.</w:t>
      </w:r>
    </w:p>
    <w:p>
      <w:pPr>
        <w:pStyle w:val="Nivel2"/>
        <w:numPr>
          <w:ilvl w:val="1"/>
          <w:numId w:val="143"/>
        </w:numPr>
        <w:ind w:left="0" w:hanging="0"/>
        <w:rPr/>
      </w:pPr>
      <w:r>
        <w:rPr>
          <w:rStyle w:val="LinkdaInternet"/>
          <w:color w:val="000000"/>
          <w:u w:val="none"/>
        </w:rPr>
        <w:t>O contrato não poderá ser prorrogado quando o contratado tiver sido penalizado nas sanções de declaração de inidoneidade ou impedimento de licitar e contratar com poder público, observadas as abrangências de aplicação.</w:t>
      </w:r>
    </w:p>
    <w:p>
      <w:pPr>
        <w:pStyle w:val="Nvel2Red"/>
        <w:numPr>
          <w:ilvl w:val="0"/>
          <w:numId w:val="0"/>
        </w:numPr>
        <w:ind w:left="4969" w:hanging="0"/>
        <w:rPr>
          <w:highlight w:val="yellow"/>
        </w:rPr>
      </w:pPr>
      <w:r>
        <w:rPr>
          <w:highlight w:val="yellow"/>
        </w:rPr>
      </w:r>
    </w:p>
    <w:p>
      <w:pPr>
        <w:pStyle w:val="Nivel01"/>
        <w:numPr>
          <w:ilvl w:val="0"/>
          <w:numId w:val="144"/>
        </w:numPr>
        <w:ind w:left="0" w:hanging="0"/>
        <w:rPr>
          <w:color w:val="FFFFFF" w:themeColor="background1"/>
        </w:rPr>
      </w:pPr>
      <w:bookmarkStart w:id="0" w:name="_Hlk114497502"/>
      <w:bookmarkStart w:id="1" w:name="_Hlk114497577"/>
      <w:bookmarkEnd w:id="0"/>
      <w:bookmarkEnd w:id="1"/>
      <w:r>
        <w:rPr/>
        <w:t>CLÁUSULA TERCEIRA – MODELOS DE EXECUÇÃO E GESTÃO CONTRATUAIS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IV, VII e XVIII)</w:t>
      </w:r>
      <w:r>
        <w:rPr>
          <w:rStyle w:val="LinkdaInternet"/>
        </w:rPr>
        <w:fldChar w:fldCharType="end"/>
      </w:r>
    </w:p>
    <w:p>
      <w:pPr>
        <w:pStyle w:val="Nivel2"/>
        <w:numPr>
          <w:ilvl w:val="1"/>
          <w:numId w:val="145"/>
        </w:numPr>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ormal"/>
        <w:numPr>
          <w:ilvl w:val="1"/>
          <w:numId w:val="146"/>
        </w:numPr>
        <w:spacing w:lineRule="auto" w:line="276" w:before="120" w:after="120"/>
        <w:ind w:left="425" w:hanging="0"/>
        <w:jc w:val="both"/>
        <w:rPr/>
      </w:pPr>
      <w:r>
        <w:rPr>
          <w:rFonts w:cs="Times New Roman" w:ascii="Times New Roman" w:hAnsi="Times New Roman"/>
          <w:sz w:val="22"/>
          <w:szCs w:val="22"/>
        </w:rPr>
        <w:t>O valor para a cessão de uso do espaço de área total de 09,15</w:t>
      </w:r>
      <w:r>
        <w:rPr>
          <w:rFonts w:eastAsia="WenQuanYi Micro Hei" w:cs="Times New Roman" w:ascii="Times New Roman" w:hAnsi="Times New Roman"/>
          <w:color w:val="000000" w:themeColor="text1"/>
          <w:sz w:val="22"/>
          <w:szCs w:val="22"/>
          <w:lang w:eastAsia="zh-CN" w:bidi="hi-IN"/>
        </w:rPr>
        <w:t xml:space="preserve"> m² (nove metros quadrados e quinze centímetros quadrados</w:t>
      </w:r>
      <w:r>
        <w:rPr>
          <w:rFonts w:cs="Times New Roman" w:ascii="Times New Roman" w:hAnsi="Times New Roman"/>
          <w:sz w:val="22"/>
          <w:szCs w:val="22"/>
        </w:rPr>
        <w:t xml:space="preserve">), destinada ao funcionamento de uma barbearia localizada no interior do 8º Batalhão de Manutenção de Selva, de acordo com as especificações constantes no Termo de Referência e no Laudo de Avaliação nº 004/2024 – CRO/8, será de R$ </w:t>
      </w:r>
      <w:r>
        <w:rPr>
          <w:rFonts w:eastAsia="ＭＳ 明朝" w:cs="Times New Roman" w:ascii="Times New Roman" w:hAnsi="Times New Roman" w:eastAsiaTheme="minorEastAsia"/>
          <w:sz w:val="22"/>
          <w:szCs w:val="22"/>
          <w:lang w:eastAsia="en-US"/>
        </w:rPr>
        <w:t>538,21 (quinhentos e trinta e oito reais e oitenta e vinte um centavos</w:t>
      </w:r>
      <w:r>
        <w:rPr>
          <w:rFonts w:cs="Times New Roman" w:ascii="Times New Roman" w:hAnsi="Times New Roman"/>
          <w:sz w:val="22"/>
          <w:szCs w:val="22"/>
        </w:rPr>
        <w:t xml:space="preserve">) mensais, incluso o valor relativo aos custos com energia elétrica, água e esgoto. </w:t>
      </w:r>
    </w:p>
    <w:p>
      <w:pPr>
        <w:pStyle w:val="Normal"/>
        <w:numPr>
          <w:ilvl w:val="1"/>
          <w:numId w:val="147"/>
        </w:numPr>
        <w:spacing w:lineRule="auto" w:line="276" w:before="120" w:after="120"/>
        <w:ind w:left="425" w:hanging="0"/>
        <w:jc w:val="both"/>
        <w:rPr/>
      </w:pPr>
      <w:r>
        <w:rPr>
          <w:rFonts w:cs="Times New Roman" w:ascii="Times New Roman" w:hAnsi="Times New Roman"/>
          <w:sz w:val="22"/>
          <w:szCs w:val="22"/>
        </w:rPr>
        <w:t>Este valor estará sujeito a reajustes após 01(um) ano da vigência do referido contrato.</w:t>
      </w:r>
    </w:p>
    <w:p>
      <w:pPr>
        <w:pStyle w:val="Nivel01"/>
        <w:numPr>
          <w:ilvl w:val="0"/>
          <w:numId w:val="148"/>
        </w:numPr>
        <w:ind w:left="0" w:hanging="0"/>
        <w:rPr>
          <w:color w:val="FFFFFF" w:themeColor="background1"/>
        </w:rPr>
      </w:pPr>
      <w:r>
        <w:rPr/>
        <w:t>CLÁUSULA QUARTA – SUBCONTRATAÇÃO</w:t>
      </w:r>
    </w:p>
    <w:p>
      <w:pPr>
        <w:pStyle w:val="Nvel2Red"/>
        <w:numPr>
          <w:ilvl w:val="1"/>
          <w:numId w:val="149"/>
        </w:numPr>
        <w:ind w:left="0" w:hanging="0"/>
        <w:rPr>
          <w:i w:val="false"/>
          <w:i w:val="false"/>
          <w:iCs w:val="false"/>
          <w:color w:val="000000"/>
        </w:rPr>
      </w:pPr>
      <w:r>
        <w:rPr>
          <w:i w:val="false"/>
          <w:iCs w:val="false"/>
          <w:color w:val="000000"/>
        </w:rPr>
        <w:t>Não será admitida a subcontratação do objeto contratual.</w:t>
      </w:r>
    </w:p>
    <w:p>
      <w:pPr>
        <w:pStyle w:val="Ou"/>
        <w:rPr>
          <w:lang w:eastAsia="zh-CN" w:bidi="hi-IN"/>
        </w:rPr>
      </w:pPr>
      <w:r>
        <w:rPr>
          <w:lang w:eastAsia="zh-CN" w:bidi="hi-IN"/>
        </w:rPr>
      </w:r>
    </w:p>
    <w:p>
      <w:pPr>
        <w:pStyle w:val="Nvel3R"/>
        <w:numPr>
          <w:ilvl w:val="0"/>
          <w:numId w:val="0"/>
        </w:numPr>
        <w:ind w:left="3482" w:hanging="0"/>
        <w:rPr>
          <w:highlight w:val="yellow"/>
        </w:rPr>
      </w:pPr>
      <w:r>
        <w:rPr>
          <w:highlight w:val="yellow"/>
        </w:rPr>
      </w:r>
    </w:p>
    <w:p>
      <w:pPr>
        <w:pStyle w:val="Nivel01"/>
        <w:numPr>
          <w:ilvl w:val="0"/>
          <w:numId w:val="150"/>
        </w:numPr>
        <w:ind w:left="0" w:hanging="0"/>
        <w:rPr>
          <w:color w:val="FFFFFF" w:themeColor="background1"/>
        </w:rPr>
      </w:pPr>
      <w:r>
        <w:rPr/>
        <w:t>CLÁUSULA QUINTA – PREÇO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r>
        <w:rPr/>
        <w:t>)</w:t>
      </w:r>
    </w:p>
    <w:p>
      <w:pPr>
        <w:pStyle w:val="Nvel2Red"/>
        <w:numPr>
          <w:ilvl w:val="1"/>
          <w:numId w:val="151"/>
        </w:numPr>
        <w:ind w:left="0" w:hanging="0"/>
        <w:rPr>
          <w:i w:val="false"/>
          <w:i w:val="false"/>
          <w:iCs w:val="false"/>
          <w:color w:val="000000"/>
        </w:rPr>
      </w:pPr>
      <w:r>
        <w:rPr>
          <w:i w:val="false"/>
          <w:iCs w:val="false"/>
          <w:color w:val="000000"/>
          <w:lang w:eastAsia="en-US"/>
        </w:rPr>
        <w:t xml:space="preserve">O valor mensal da contratação é de </w:t>
      </w:r>
      <w:r>
        <w:rPr>
          <w:rFonts w:cs="Times New Roman" w:ascii="Times New Roman" w:hAnsi="Times New Roman"/>
          <w:i w:val="false"/>
          <w:iCs w:val="false"/>
          <w:color w:val="000000"/>
          <w:sz w:val="22"/>
          <w:szCs w:val="22"/>
          <w:lang w:eastAsia="en-US"/>
        </w:rPr>
        <w:t xml:space="preserve">R$ </w:t>
      </w:r>
      <w:r>
        <w:rPr>
          <w:rFonts w:eastAsia="ＭＳ 明朝" w:cs="Times New Roman" w:ascii="Times New Roman" w:hAnsi="Times New Roman" w:eastAsiaTheme="minorEastAsia"/>
          <w:i w:val="false"/>
          <w:iCs w:val="false"/>
          <w:color w:val="000000"/>
          <w:sz w:val="22"/>
          <w:szCs w:val="22"/>
          <w:lang w:eastAsia="en-US"/>
        </w:rPr>
        <w:t>538,21 (quinhentos e trinta e oito reais e oitenta e vinte um centavos</w:t>
      </w:r>
      <w:r>
        <w:rPr>
          <w:rFonts w:cs="Times New Roman" w:ascii="Times New Roman" w:hAnsi="Times New Roman"/>
          <w:i w:val="false"/>
          <w:iCs w:val="false"/>
          <w:color w:val="000000"/>
          <w:sz w:val="22"/>
          <w:szCs w:val="22"/>
          <w:lang w:eastAsia="en-US"/>
        </w:rPr>
        <w:t>)</w:t>
      </w:r>
      <w:r>
        <w:rPr>
          <w:i w:val="false"/>
          <w:iCs w:val="false"/>
          <w:color w:val="000000"/>
          <w:lang w:eastAsia="en-US"/>
        </w:rPr>
        <w:t xml:space="preserve">, perfazendo o valor total de </w:t>
      </w:r>
      <w:r>
        <w:rPr>
          <w:rFonts w:cs="Times New Roman" w:ascii="Times New Roman" w:hAnsi="Times New Roman"/>
          <w:i w:val="false"/>
          <w:iCs w:val="false"/>
          <w:color w:val="000000"/>
          <w:sz w:val="22"/>
          <w:szCs w:val="22"/>
          <w:lang w:eastAsia="en-US"/>
        </w:rPr>
        <w:t>R$ 6.458,52(seis mil e quatrocentos e cinquenta e oito reais e cinquenta e dois centavos).</w:t>
      </w:r>
    </w:p>
    <w:p>
      <w:pPr>
        <w:pStyle w:val="Nvel2Red"/>
        <w:numPr>
          <w:ilvl w:val="0"/>
          <w:numId w:val="0"/>
        </w:numPr>
        <w:ind w:left="4969" w:hanging="0"/>
        <w:rPr/>
      </w:pPr>
      <w:r>
        <w:rPr/>
      </w:r>
    </w:p>
    <w:p>
      <w:pPr>
        <w:pStyle w:val="Nivel2"/>
        <w:numPr>
          <w:ilvl w:val="1"/>
          <w:numId w:val="152"/>
        </w:numPr>
        <w:ind w:left="0" w:hanging="0"/>
        <w:rPr/>
      </w:pPr>
      <w:r>
        <w:rPr/>
        <w:t xml:space="preserve">No valor acima estão incluídas todas as despesas ordinárias diretas e indiretas decorrentes da execução do objeto, inclusive tributos e/ou impostos, encargos sociais, trabalhistas, previdenciários, fiscais </w:t>
      </w:r>
      <w:r>
        <w:rPr>
          <w:strike/>
        </w:rPr>
        <w:t>e comerciais incidentes, taxa de administração</w:t>
      </w:r>
      <w:r>
        <w:rPr/>
        <w:t>, frete, seguro e outros necessários ao cumprimento integral do objeto da contratação.</w:t>
      </w:r>
    </w:p>
    <w:p>
      <w:pPr>
        <w:pStyle w:val="Nvel2Red"/>
        <w:numPr>
          <w:ilvl w:val="0"/>
          <w:numId w:val="0"/>
        </w:numPr>
        <w:ind w:left="4969" w:hanging="0"/>
        <w:rPr/>
      </w:pPr>
      <w:r>
        <w:rPr/>
      </w:r>
    </w:p>
    <w:p>
      <w:pPr>
        <w:pStyle w:val="Nivel01"/>
        <w:numPr>
          <w:ilvl w:val="0"/>
          <w:numId w:val="153"/>
        </w:numPr>
        <w:ind w:left="0" w:hanging="0"/>
        <w:rPr>
          <w:color w:val="FFFFFF" w:themeColor="background1"/>
        </w:rPr>
      </w:pPr>
      <w:r>
        <w:rPr/>
        <w:t>CLÁUSULA SEXTA - PAGAMENTO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 e VI</w:t>
      </w:r>
      <w:r>
        <w:rPr>
          <w:rStyle w:val="LinkdaInternet"/>
        </w:rPr>
        <w:fldChar w:fldCharType="end"/>
      </w:r>
      <w:r>
        <w:rPr/>
        <w:t>)</w:t>
      </w:r>
    </w:p>
    <w:p>
      <w:pPr>
        <w:pStyle w:val="Nivel2"/>
        <w:numPr>
          <w:ilvl w:val="1"/>
          <w:numId w:val="154"/>
        </w:numPr>
        <w:ind w:left="0" w:hanging="0"/>
        <w:rPr/>
      </w:pPr>
      <w:r>
        <w:rPr/>
        <w:t xml:space="preserve">O prazo para pagamento </w:t>
      </w:r>
      <w:r>
        <w:rPr>
          <w:color w:val="auto"/>
          <w:lang w:eastAsia="en-US"/>
        </w:rPr>
        <w:t>ao contratante</w:t>
      </w:r>
      <w:r>
        <w:rPr/>
        <w:t xml:space="preserve"> e demais condições a ele referentes, inclusive quanto à utilização da Conta-Depósito Vinculada - bloqueada para movimentação ou do </w:t>
      </w:r>
      <w:r>
        <w:rPr>
          <w:color w:val="auto"/>
        </w:rPr>
        <w:t>Pagamento pelo Fato Gerador</w:t>
      </w:r>
      <w:r>
        <w:rPr/>
        <w:t>, encontram-se definidos no Termo de Referência, anexo a este Contrato.</w:t>
      </w:r>
    </w:p>
    <w:p>
      <w:pPr>
        <w:pStyle w:val="Nivel01"/>
        <w:numPr>
          <w:ilvl w:val="0"/>
          <w:numId w:val="155"/>
        </w:numPr>
        <w:ind w:left="0" w:hanging="0"/>
        <w:rPr>
          <w:color w:val="FFFFFF" w:themeColor="background1"/>
        </w:rPr>
      </w:pPr>
      <w:r>
        <w:rPr/>
        <w:t>CLÁUSULA SÉTIMA - REAJUSTE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r>
        <w:rPr/>
        <w:t>)</w:t>
      </w:r>
    </w:p>
    <w:p>
      <w:pPr>
        <w:pStyle w:val="Nivel2"/>
        <w:numPr>
          <w:ilvl w:val="1"/>
          <w:numId w:val="156"/>
        </w:numPr>
        <w:ind w:left="0" w:hanging="0"/>
        <w:rPr/>
      </w:pPr>
      <w:r>
        <w:rPr/>
        <w:t xml:space="preserve">Os preços inicialmente contratados são fixos e irreajustáveis no prazo de um ano contado da data do orçamento estimado, em </w:t>
      </w:r>
      <w:r>
        <w:rPr>
          <w:i/>
          <w:iCs/>
          <w:color w:val="FF0000"/>
        </w:rPr>
        <w:t>__/__/__ (DD/MM/AAAA)</w:t>
      </w:r>
      <w:r>
        <w:rPr/>
        <w:t>.</w:t>
      </w:r>
    </w:p>
    <w:p>
      <w:pPr>
        <w:pStyle w:val="Nivel2"/>
        <w:numPr>
          <w:ilvl w:val="1"/>
          <w:numId w:val="157"/>
        </w:numPr>
        <w:ind w:left="0" w:hanging="0"/>
        <w:rPr/>
      </w:pPr>
      <w:r>
        <w:rPr/>
        <w:t>Após o interregno de um ano, e independentemente de pedido do contratado,</w:t>
      </w:r>
      <w:bookmarkStart w:id="2" w:name="_Hlk132722410"/>
      <w:bookmarkEnd w:id="2"/>
      <w:r>
        <w:rPr/>
        <w:t xml:space="preserve"> os preços iniciais serão reajustados, mediante a aplicação, pelo contratante, do índice </w:t>
      </w:r>
      <w:r>
        <w:rPr>
          <w:rFonts w:ascii="Times New Roman" w:hAnsi="Times New Roman"/>
          <w:b/>
          <w:bCs/>
          <w:i w:val="false"/>
          <w:iCs w:val="false"/>
          <w:sz w:val="22"/>
          <w:szCs w:val="22"/>
        </w:rPr>
        <w:t>IGPM-IBGE</w:t>
      </w:r>
      <w:r>
        <w:rPr>
          <w:i/>
          <w:iCs/>
          <w:color w:val="FF0000"/>
        </w:rPr>
        <w:t>,</w:t>
      </w:r>
      <w:r>
        <w:rPr>
          <w:i/>
          <w:iCs/>
        </w:rPr>
        <w:t>,</w:t>
      </w:r>
      <w:r>
        <w:rPr/>
        <w:t xml:space="preserve"> exclusivamente para as obrigações iniciadas e concluídas após a ocorrência da anualidade.</w:t>
      </w:r>
    </w:p>
    <w:p>
      <w:pPr>
        <w:pStyle w:val="Nivel2"/>
        <w:numPr>
          <w:ilvl w:val="1"/>
          <w:numId w:val="158"/>
        </w:numPr>
        <w:ind w:left="0" w:hanging="0"/>
        <w:rPr/>
      </w:pPr>
      <w:r>
        <w:rPr/>
        <w:t>Nos reajustes subsequentes ao primeiro, o interregno mínimo de um ano será contado a partir dos efeitos financeiros do último reajuste.</w:t>
      </w:r>
    </w:p>
    <w:p>
      <w:pPr>
        <w:pStyle w:val="Nivel2"/>
        <w:numPr>
          <w:ilvl w:val="1"/>
          <w:numId w:val="159"/>
        </w:numPr>
        <w:ind w:left="0" w:hanging="0"/>
        <w:rPr/>
      </w:pPr>
      <w: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160"/>
        </w:numPr>
        <w:ind w:left="0" w:hanging="0"/>
        <w:rPr/>
      </w:pPr>
      <w:r>
        <w:rPr/>
        <w:t>Nas aferições finais, o(s) índice(s) utilizado(s) para reajuste será(ão), obrigatoriamente, o(s) definitivo(s).</w:t>
      </w:r>
    </w:p>
    <w:p>
      <w:pPr>
        <w:pStyle w:val="Nivel2"/>
        <w:numPr>
          <w:ilvl w:val="1"/>
          <w:numId w:val="161"/>
        </w:numPr>
        <w:ind w:left="0" w:hanging="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62"/>
        </w:numPr>
        <w:ind w:left="0" w:hanging="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163"/>
        </w:numPr>
        <w:ind w:left="0" w:hanging="0"/>
        <w:rPr/>
      </w:pPr>
      <w:r>
        <w:rPr/>
        <w:t>O reajuste será realizado por apostilamento.</w:t>
      </w:r>
    </w:p>
    <w:p>
      <w:pPr>
        <w:pStyle w:val="Nivel01"/>
        <w:numPr>
          <w:ilvl w:val="0"/>
          <w:numId w:val="164"/>
        </w:numPr>
        <w:ind w:left="0" w:hanging="0"/>
        <w:rPr>
          <w:color w:val="FFFFFF" w:themeColor="background1"/>
        </w:rPr>
      </w:pPr>
      <w:r>
        <w:rPr/>
        <w:t xml:space="preserve">CLÁUSULA OITAVA - OBRIGAÇÕES DO CONTRATANTE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 XI e XIV</w:t>
      </w:r>
      <w:r>
        <w:rPr>
          <w:rStyle w:val="LinkdaInternet"/>
        </w:rPr>
        <w:fldChar w:fldCharType="end"/>
      </w:r>
      <w:r>
        <w:rPr/>
        <w:t>)</w:t>
      </w:r>
    </w:p>
    <w:p>
      <w:pPr>
        <w:pStyle w:val="Nivel2"/>
        <w:numPr>
          <w:ilvl w:val="1"/>
          <w:numId w:val="165"/>
        </w:numPr>
        <w:ind w:left="0" w:hanging="0"/>
        <w:rPr/>
      </w:pPr>
      <w:r>
        <w:rPr/>
        <w:t>São obrigações do Contratante:</w:t>
      </w:r>
    </w:p>
    <w:p>
      <w:pPr>
        <w:pStyle w:val="Nivel2"/>
        <w:numPr>
          <w:ilvl w:val="1"/>
          <w:numId w:val="166"/>
        </w:numPr>
        <w:ind w:left="0" w:hanging="0"/>
        <w:rPr/>
      </w:pPr>
      <w:r>
        <w:rPr/>
        <w:t>Exigir o cumprimento de todas as obrigações assumidas pelo Contratado, de acordo com o contrato e seus anexos;</w:t>
      </w:r>
    </w:p>
    <w:p>
      <w:pPr>
        <w:pStyle w:val="Nivel2"/>
        <w:numPr>
          <w:ilvl w:val="1"/>
          <w:numId w:val="167"/>
        </w:numPr>
        <w:ind w:left="0" w:hanging="0"/>
        <w:rPr/>
      </w:pPr>
      <w:r>
        <w:rPr/>
        <w:t>Receber o objeto no prazo e condições estabelecidas no Termo de Referência;</w:t>
      </w:r>
    </w:p>
    <w:p>
      <w:pPr>
        <w:pStyle w:val="Nivel2"/>
        <w:numPr>
          <w:ilvl w:val="1"/>
          <w:numId w:val="168"/>
        </w:numPr>
        <w:ind w:left="0" w:hanging="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169"/>
        </w:numPr>
        <w:ind w:left="0" w:hanging="0"/>
        <w:rPr/>
      </w:pPr>
      <w:r>
        <w:rPr/>
        <w:t>Acompanhar e fiscalizar a execução do contrato e o cumprimento das obrigações pelo Contratado;</w:t>
      </w:r>
    </w:p>
    <w:p>
      <w:pPr>
        <w:pStyle w:val="Nivel2"/>
        <w:numPr>
          <w:ilvl w:val="1"/>
          <w:numId w:val="170"/>
        </w:numPr>
        <w:ind w:left="0" w:hanging="0"/>
        <w:rPr>
          <w:strike/>
        </w:rPr>
      </w:pPr>
      <w:r>
        <w:rPr>
          <w:strike/>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171"/>
        </w:numPr>
        <w:ind w:left="0" w:hanging="0"/>
        <w:rPr>
          <w:strike/>
        </w:rPr>
      </w:pPr>
      <w:r>
        <w:rPr>
          <w:strike/>
        </w:rPr>
        <w:t>Efetuar o pagamento ao Contratado do valor correspondente à execução do objeto, no prazo, forma e condições estabelecidos no presente Contrato e no Termo de Referência;</w:t>
      </w:r>
    </w:p>
    <w:p>
      <w:pPr>
        <w:pStyle w:val="Nivel2"/>
        <w:numPr>
          <w:ilvl w:val="1"/>
          <w:numId w:val="172"/>
        </w:numPr>
        <w:ind w:left="0" w:hanging="0"/>
        <w:rPr/>
      </w:pPr>
      <w:r>
        <w:rPr/>
        <w:t xml:space="preserve">Aplicar ao Contratado as sanções previstas na lei e neste Contrato; </w:t>
      </w:r>
    </w:p>
    <w:p>
      <w:pPr>
        <w:pStyle w:val="Nivel2"/>
        <w:numPr>
          <w:ilvl w:val="1"/>
          <w:numId w:val="173"/>
        </w:numPr>
        <w:ind w:left="0" w:hanging="0"/>
        <w:rPr/>
      </w:pPr>
      <w:r>
        <w:rPr/>
        <w:t>Cientificar o órgão de representação judicial da Advocacia-Geral da União para adoção das medidas cabíveis quando do descumprimento de obrigações pelo Contratado;</w:t>
      </w:r>
    </w:p>
    <w:p>
      <w:pPr>
        <w:pStyle w:val="Nivel2"/>
        <w:numPr>
          <w:ilvl w:val="1"/>
          <w:numId w:val="174"/>
        </w:numPr>
        <w:ind w:left="0"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75"/>
        </w:numPr>
        <w:ind w:left="284" w:hanging="0"/>
        <w:rPr>
          <w:b/>
          <w:b/>
          <w:bCs/>
        </w:rPr>
      </w:pPr>
      <w:r>
        <w:rPr/>
        <w:t xml:space="preserve"> </w:t>
      </w:r>
      <w:r>
        <w:rPr/>
        <w:t>A Administração terá o prazo de</w:t>
      </w:r>
      <w:r>
        <w:rPr>
          <w:i/>
          <w:iCs/>
          <w:color w:val="FF0000"/>
        </w:rPr>
        <w:t xml:space="preserve"> </w:t>
      </w:r>
      <w:r>
        <w:rPr>
          <w:b/>
          <w:bCs/>
          <w:i w:val="false"/>
          <w:iCs w:val="false"/>
          <w:color w:val="000000"/>
        </w:rPr>
        <w:t>1</w:t>
      </w:r>
      <w:r>
        <w:rPr>
          <w:rFonts w:cs="Tahoma" w:ascii="arial" w:hAnsi="arial"/>
          <w:b/>
          <w:bCs/>
          <w:i w:val="false"/>
          <w:iCs w:val="false"/>
          <w:strike w:val="false"/>
          <w:dstrike w:val="false"/>
          <w:color w:val="000000"/>
          <w:sz w:val="20"/>
          <w:szCs w:val="20"/>
        </w:rPr>
        <w:t xml:space="preserve">0 </w:t>
      </w:r>
      <w:r>
        <w:rPr>
          <w:rFonts w:cs="Tahoma" w:ascii="arial" w:hAnsi="arial"/>
          <w:b/>
          <w:bCs/>
          <w:i w:val="false"/>
          <w:iCs w:val="false"/>
          <w:strike w:val="false"/>
          <w:dstrike w:val="false"/>
          <w:color w:val="000000"/>
          <w:sz w:val="22"/>
          <w:szCs w:val="22"/>
        </w:rPr>
        <w:t>(d</w:t>
      </w:r>
      <w:r>
        <w:rPr>
          <w:rFonts w:cs="Tahoma" w:ascii="Times New Roman" w:hAnsi="Times New Roman"/>
          <w:b/>
          <w:bCs/>
          <w:i w:val="false"/>
          <w:iCs w:val="false"/>
          <w:strike w:val="false"/>
          <w:dstrike w:val="false"/>
          <w:color w:val="000000"/>
          <w:sz w:val="22"/>
          <w:szCs w:val="22"/>
        </w:rPr>
        <w:t>ez) dias úteis</w:t>
      </w:r>
      <w:r>
        <w:rPr/>
        <w:t xml:space="preserve"> a contar da data do protocolo do requerimento para decidir, admitida a prorrogação motivada, por igual período. </w:t>
      </w:r>
    </w:p>
    <w:p>
      <w:pPr>
        <w:pStyle w:val="Nivel2"/>
        <w:numPr>
          <w:ilvl w:val="1"/>
          <w:numId w:val="176"/>
        </w:numPr>
        <w:ind w:left="0" w:hanging="0"/>
        <w:rPr>
          <w:color w:val="FF0000"/>
        </w:rPr>
      </w:pPr>
      <w:r>
        <w:rPr>
          <w:strike/>
        </w:rPr>
        <w:t xml:space="preserve">Responder eventuais pedidos de reestabelecimento do equilíbrio econômico-financeiro feitos pelo contratado no prazo máximo de </w:t>
      </w:r>
      <w:r>
        <w:rPr>
          <w:strike/>
          <w:color w:val="FF0000"/>
        </w:rPr>
        <w:t>XXXXXX.</w:t>
      </w:r>
    </w:p>
    <w:p>
      <w:pPr>
        <w:pStyle w:val="Nvel2Red"/>
        <w:numPr>
          <w:ilvl w:val="1"/>
          <w:numId w:val="177"/>
        </w:numPr>
        <w:ind w:left="0" w:hanging="0"/>
        <w:rPr/>
      </w:pPr>
      <w:r>
        <w:rPr/>
      </w:r>
    </w:p>
    <w:p>
      <w:pPr>
        <w:pStyle w:val="Nivel2"/>
        <w:numPr>
          <w:ilvl w:val="1"/>
          <w:numId w:val="178"/>
        </w:numPr>
        <w:ind w:left="0" w:hanging="0"/>
        <w:rPr/>
      </w:pPr>
      <w:r>
        <w:rPr/>
        <w:t xml:space="preserve">Comunicar o Contratado na hipótese de posterior alteração do projeto pelo Contratante, no caso </w:t>
      </w:r>
      <w:r>
        <w:fldChar w:fldCharType="begin"/>
      </w:r>
      <w:r>
        <w:rPr>
          <w:rStyle w:val="LinkdaInternet"/>
        </w:rPr>
        <w:instrText> HYPERLINK "http://www.planalto.gov.br/ccivil_03/_ato2019-2022/2021/lei/L14133.htm" \l "art93§2"</w:instrText>
      </w:r>
      <w:r>
        <w:rPr>
          <w:rStyle w:val="LinkdaInternet"/>
        </w:rPr>
        <w:fldChar w:fldCharType="separate"/>
      </w:r>
      <w:r>
        <w:rPr>
          <w:rStyle w:val="LinkdaInternet"/>
        </w:rPr>
        <w:t>do art. 93, §2º, da Lei nº 14.133, de 2021</w:t>
      </w:r>
      <w:r>
        <w:rPr>
          <w:rStyle w:val="LinkdaInternet"/>
        </w:rPr>
        <w:fldChar w:fldCharType="end"/>
      </w:r>
      <w:r>
        <w:rPr/>
        <w:t>.</w:t>
      </w:r>
    </w:p>
    <w:p>
      <w:pPr>
        <w:pStyle w:val="Nivel2"/>
        <w:numPr>
          <w:ilvl w:val="1"/>
          <w:numId w:val="179"/>
        </w:numPr>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80"/>
        </w:numPr>
        <w:ind w:left="0" w:hanging="0"/>
        <w:rPr>
          <w:color w:val="FFFFFF" w:themeColor="background1"/>
        </w:rPr>
      </w:pPr>
      <w:r>
        <w:rPr/>
        <w:t>CLÁUSULA NONA - OBRIGAÇÕES DO CONTRATADO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 XVI e XVII</w:t>
      </w:r>
      <w:r>
        <w:rPr>
          <w:rStyle w:val="LinkdaInternet"/>
        </w:rPr>
        <w:fldChar w:fldCharType="end"/>
      </w:r>
      <w:r>
        <w:rPr/>
        <w:t>)</w:t>
      </w:r>
    </w:p>
    <w:p>
      <w:pPr>
        <w:pStyle w:val="Nivel2"/>
        <w:numPr>
          <w:ilvl w:val="1"/>
          <w:numId w:val="181"/>
        </w:numPr>
        <w:ind w:left="0" w:hanging="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82"/>
        </w:numPr>
        <w:ind w:left="0" w:hanging="0"/>
        <w:rPr>
          <w:strike/>
        </w:rPr>
      </w:pPr>
      <w:r>
        <w:rPr>
          <w:strike/>
        </w:rPr>
        <w:t>Manter preposto aceito pela Administração no local do serviço para representá-lo na execução do contrato.</w:t>
      </w:r>
    </w:p>
    <w:p>
      <w:pPr>
        <w:pStyle w:val="Nivel2"/>
        <w:numPr>
          <w:ilvl w:val="1"/>
          <w:numId w:val="183"/>
        </w:numPr>
        <w:ind w:left="0" w:hanging="0"/>
        <w:rPr>
          <w:strike/>
        </w:rPr>
      </w:pPr>
      <w:r>
        <w:rPr>
          <w:strike/>
        </w:rPr>
        <w:t>A indicação ou a manutenção do preposto da empresa poderá ser recusada pelo órgão ou entidade, desde que devidamente justificada, devendo a empresa designar outro para o exercício da atividade.</w:t>
      </w:r>
    </w:p>
    <w:p>
      <w:pPr>
        <w:pStyle w:val="Nivel2"/>
        <w:numPr>
          <w:ilvl w:val="1"/>
          <w:numId w:val="184"/>
        </w:numPr>
        <w:ind w:left="0" w:hanging="0"/>
        <w:rPr/>
      </w:pPr>
      <w:r>
        <w:rPr/>
        <w:t>Atender às determinações regulares emitidas pelo fiscal do contrato ou autoridade superior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 137, II</w:t>
      </w:r>
      <w:r>
        <w:rPr>
          <w:rStyle w:val="LinkdaInternet"/>
        </w:rPr>
        <w:fldChar w:fldCharType="end"/>
      </w:r>
      <w:r>
        <w:rPr/>
        <w:t xml:space="preserve">) </w:t>
      </w:r>
      <w:r>
        <w:rPr>
          <w:color w:val="000000" w:themeColor="text1"/>
        </w:rPr>
        <w:t xml:space="preserve">e </w:t>
      </w:r>
      <w:r>
        <w:rPr/>
        <w:t>prestar todo esclarecimento ou informação por eles solicitados</w:t>
      </w:r>
      <w:r>
        <w:rPr>
          <w:color w:val="000000" w:themeColor="text1"/>
        </w:rPr>
        <w:t>;</w:t>
      </w:r>
    </w:p>
    <w:p>
      <w:pPr>
        <w:pStyle w:val="Nivel2"/>
        <w:numPr>
          <w:ilvl w:val="1"/>
          <w:numId w:val="185"/>
        </w:numPr>
        <w:ind w:left="0" w:hanging="0"/>
        <w:rPr/>
      </w:pPr>
      <w: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186"/>
        </w:numPr>
        <w:ind w:left="0" w:hanging="0"/>
        <w:rPr/>
      </w:pPr>
      <w: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1"/>
          <w:numId w:val="187"/>
        </w:numPr>
        <w:ind w:left="0" w:hanging="0"/>
        <w:rPr/>
      </w:pPr>
      <w:r>
        <w:rPr/>
        <w:t xml:space="preserve">Responsabilizar-se pelos vícios e danos decorrentes da execução do objeto, de acordo com o </w:t>
      </w:r>
      <w:hyperlink r:id="rId3">
        <w:r>
          <w:rPr>
            <w:rStyle w:val="LinkdaInternet"/>
          </w:rPr>
          <w:t>Código de Defesa do Consumidor (Lei nº 8.078, de 1990</w:t>
        </w:r>
      </w:hyperlink>
      <w: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188"/>
        </w:numPr>
        <w:ind w:left="0" w:hanging="0"/>
        <w:rPr/>
      </w:pPr>
      <w: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rPr>
        <w:instrText> HYPERLINK "http://www.planalto.gov.br/ccivil_03/_ato2019-2022/2021/lei/L14133.htm" \l "art48"</w:instrText>
      </w:r>
      <w:r>
        <w:rPr>
          <w:rStyle w:val="LinkdaInternet"/>
        </w:rPr>
        <w:fldChar w:fldCharType="separate"/>
      </w:r>
      <w:r>
        <w:rPr>
          <w:rStyle w:val="LinkdaInternet"/>
        </w:rPr>
        <w:t>artigo 48, parágrafo único, da Lei nº 14.133, de 2021</w:t>
      </w:r>
      <w:r>
        <w:rPr>
          <w:rStyle w:val="LinkdaInternet"/>
        </w:rPr>
        <w:fldChar w:fldCharType="end"/>
      </w:r>
      <w:r>
        <w:rPr/>
        <w:t>;</w:t>
      </w:r>
    </w:p>
    <w:p>
      <w:pPr>
        <w:pStyle w:val="Nivel2"/>
        <w:numPr>
          <w:ilvl w:val="1"/>
          <w:numId w:val="189"/>
        </w:numPr>
        <w:ind w:left="0" w:hanging="0"/>
        <w:rPr/>
      </w:pPr>
      <w: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ivel2"/>
        <w:numPr>
          <w:ilvl w:val="1"/>
          <w:numId w:val="190"/>
        </w:numPr>
        <w:ind w:left="0" w:hanging="0"/>
        <w:rPr/>
      </w:pPr>
      <w: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191"/>
        </w:numPr>
        <w:ind w:left="0" w:hanging="0"/>
        <w:rPr/>
      </w:pPr>
      <w:r>
        <w:rPr/>
        <w:t>Comunicar ao Fiscal do contrato, no prazo de 24 (vinte e quatro) horas, qualquer ocorrência anormal ou acidente que se verifique no local dos serviços.</w:t>
      </w:r>
    </w:p>
    <w:p>
      <w:pPr>
        <w:pStyle w:val="Nivel2"/>
        <w:numPr>
          <w:ilvl w:val="1"/>
          <w:numId w:val="192"/>
        </w:numPr>
        <w:ind w:left="0" w:hanging="0"/>
        <w:rPr/>
      </w:pPr>
      <w: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193"/>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194"/>
        </w:numPr>
        <w:ind w:left="0" w:hanging="0"/>
        <w:rPr/>
      </w:pPr>
      <w:r>
        <w:rPr/>
        <w:t>Promover a guarda, manutenção e vigilância de materiais, ferramentas, e tudo o que for necessário à execução do objeto, durante a vigência do contrato.</w:t>
      </w:r>
    </w:p>
    <w:p>
      <w:pPr>
        <w:pStyle w:val="Nivel2"/>
        <w:numPr>
          <w:ilvl w:val="1"/>
          <w:numId w:val="195"/>
        </w:numPr>
        <w:ind w:left="0" w:hanging="0"/>
        <w:rPr/>
      </w:pPr>
      <w: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196"/>
        </w:numPr>
        <w:ind w:left="0" w:hanging="0"/>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197"/>
        </w:numPr>
        <w:ind w:left="0" w:hanging="0"/>
        <w:rPr/>
      </w:pPr>
      <w: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198"/>
        </w:numPr>
        <w:ind w:left="0" w:hanging="0"/>
        <w:rPr/>
      </w:pPr>
      <w:r>
        <w:rPr/>
        <w:t xml:space="preserve"> </w:t>
      </w:r>
      <w:r>
        <w:rPr/>
        <w:t xml:space="preserve">Manter durante toda a vigência do contrato, em compatibilidade com as obrigações assumidas, todas as condições exigidas para habilitação na licitação; </w:t>
      </w:r>
    </w:p>
    <w:p>
      <w:pPr>
        <w:pStyle w:val="Nivel2"/>
        <w:numPr>
          <w:ilvl w:val="1"/>
          <w:numId w:val="199"/>
        </w:numPr>
        <w:ind w:left="0" w:hanging="0"/>
        <w:rPr>
          <w:b/>
          <w:b/>
          <w:bCs/>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w:t>
      </w:r>
      <w:r>
        <w:rPr>
          <w:rStyle w:val="LinkdaInternet"/>
        </w:rPr>
        <w:fldChar w:fldCharType="end"/>
      </w:r>
      <w:r>
        <w:rPr/>
        <w:t>);</w:t>
      </w:r>
    </w:p>
    <w:p>
      <w:pPr>
        <w:pStyle w:val="Nivel2"/>
        <w:numPr>
          <w:ilvl w:val="1"/>
          <w:numId w:val="200"/>
        </w:numPr>
        <w:ind w:left="0" w:hanging="0"/>
        <w:rPr/>
      </w:pPr>
      <w:r>
        <w:rPr/>
        <w:t>Comprovar a reserva de cargos a que se refere a cláusula acima, no prazo fixado pelo fiscal do contrato, com a indicação dos empregados que preencheram as referidas vagas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 parágrafo único</w:t>
      </w:r>
      <w:r>
        <w:rPr>
          <w:rStyle w:val="LinkdaInternet"/>
        </w:rPr>
        <w:fldChar w:fldCharType="end"/>
      </w:r>
      <w:r>
        <w:rPr/>
        <w:t>);</w:t>
      </w:r>
    </w:p>
    <w:p>
      <w:pPr>
        <w:pStyle w:val="Nivel2"/>
        <w:numPr>
          <w:ilvl w:val="1"/>
          <w:numId w:val="201"/>
        </w:numPr>
        <w:ind w:left="0" w:hanging="0"/>
        <w:rPr/>
      </w:pPr>
      <w:r>
        <w:rPr/>
        <w:t>Guardar sigilo sobre todas as informações obtidas em decorrência do cumprimento do contrato;</w:t>
      </w:r>
    </w:p>
    <w:p>
      <w:pPr>
        <w:pStyle w:val="Nivel2"/>
        <w:numPr>
          <w:ilvl w:val="1"/>
          <w:numId w:val="202"/>
        </w:numPr>
        <w:ind w:left="0" w:hanging="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 124, II, d, da Lei nº 14.133, de 2021</w:t>
      </w:r>
      <w:r>
        <w:rPr>
          <w:rStyle w:val="LinkdaInternet"/>
        </w:rPr>
        <w:fldChar w:fldCharType="end"/>
      </w:r>
      <w:r>
        <w:rPr/>
        <w:t>;</w:t>
      </w:r>
    </w:p>
    <w:p>
      <w:pPr>
        <w:pStyle w:val="Nivel2"/>
        <w:numPr>
          <w:ilvl w:val="1"/>
          <w:numId w:val="203"/>
        </w:numPr>
        <w:ind w:left="0" w:hanging="0"/>
        <w:rPr/>
      </w:pPr>
      <w:r>
        <w:rPr/>
        <w:t>Cumprir, além dos postulados legais vigentes de âmbito federal, estadual ou municipal, as normas de segurança do Contratante;</w:t>
      </w:r>
    </w:p>
    <w:p>
      <w:pPr>
        <w:pStyle w:val="Nivel2"/>
        <w:numPr>
          <w:ilvl w:val="1"/>
          <w:numId w:val="204"/>
        </w:numPr>
        <w:ind w:left="0" w:hanging="0"/>
        <w:rPr/>
      </w:pPr>
      <w:r>
        <w:rPr/>
        <w:t xml:space="preserve"> </w:t>
      </w:r>
      <w:r>
        <w:rPr>
          <w:rFonts w:ascii="Times New Roman" w:hAnsi="Times New Roman"/>
          <w:b w:val="false"/>
          <w:bCs w:val="false"/>
          <w:strike w:val="false"/>
          <w:dstrike w:val="false"/>
          <w:sz w:val="22"/>
          <w:szCs w:val="22"/>
        </w:rPr>
        <w:t>A contratada/cessionária deverá efetuar o pagamento pelo uso do espaço público, no prazo, forma e condições estabelecidas no presente contrato e no termo de referência.</w:t>
      </w:r>
    </w:p>
    <w:p>
      <w:pPr>
        <w:pStyle w:val="Normal"/>
        <w:widowControl/>
        <w:numPr>
          <w:ilvl w:val="0"/>
          <w:numId w:val="0"/>
        </w:numPr>
        <w:bidi w:val="0"/>
        <w:ind w:left="360" w:right="0" w:hanging="0"/>
        <w:jc w:val="both"/>
        <w:rPr>
          <w:b/>
          <w:b/>
          <w:bCs/>
          <w:strike w:val="false"/>
          <w:dstrike w:val="false"/>
        </w:rPr>
      </w:pPr>
      <w:r>
        <w:rPr>
          <w:b/>
          <w:bCs/>
          <w:strike w:val="false"/>
          <w:dstrike w:val="false"/>
        </w:rPr>
      </w:r>
    </w:p>
    <w:p>
      <w:pPr>
        <w:pStyle w:val="Normal"/>
        <w:widowControl/>
        <w:numPr>
          <w:ilvl w:val="1"/>
          <w:numId w:val="205"/>
        </w:numPr>
        <w:bidi w:val="0"/>
        <w:ind w:left="0" w:right="0" w:hanging="0"/>
        <w:jc w:val="both"/>
        <w:rPr>
          <w:b/>
          <w:b/>
          <w:bCs/>
        </w:rPr>
      </w:pPr>
      <w:r>
        <w:rPr>
          <w:rFonts w:ascii="Times New Roman" w:hAnsi="Times New Roman"/>
          <w:b w:val="false"/>
          <w:bCs w:val="false"/>
          <w:strike w:val="false"/>
          <w:dstrike w:val="false"/>
          <w:sz w:val="22"/>
          <w:szCs w:val="22"/>
        </w:rPr>
        <w:t>Não haverá qualquer ônus para União, sobretudo no que diz respeito aos empregados da cessionária; compatibilidade de horário de funcionamento da cessionária com o horário de funcionamento do Órgão cedente; obediência às normas relacionadas ao funcionamento da atividade e às normas de utilização do imóvel, e aprovação prévia do Órgão cedente para realização de qualquer obra de adequação do espaço físico a ser utilizado pela cessionária; bem como a participação proporcional da cessionária no rateio das despesas com manutenção, conservação e vigilância do prédio.</w:t>
      </w:r>
    </w:p>
    <w:p>
      <w:pPr>
        <w:pStyle w:val="Nvel2Red"/>
        <w:numPr>
          <w:ilvl w:val="0"/>
          <w:numId w:val="0"/>
        </w:numPr>
        <w:ind w:left="4969" w:hanging="0"/>
        <w:rPr/>
      </w:pPr>
      <w:r>
        <w:rPr/>
      </w:r>
    </w:p>
    <w:p>
      <w:pPr>
        <w:pStyle w:val="Nivel01"/>
        <w:numPr>
          <w:ilvl w:val="0"/>
          <w:numId w:val="206"/>
        </w:numPr>
        <w:ind w:left="0" w:hanging="0"/>
        <w:rPr>
          <w:color w:val="FFFFFF" w:themeColor="background1"/>
        </w:rPr>
      </w:pPr>
      <w:r>
        <w:rPr/>
        <w:t>CLÁUSULA DÉCIMA  – GARANTIA DE EXECUÇÃO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XII</w:t>
      </w:r>
      <w:r>
        <w:rPr>
          <w:rStyle w:val="LinkdaInternet"/>
        </w:rPr>
        <w:fldChar w:fldCharType="end"/>
      </w:r>
      <w:r>
        <w:rPr/>
        <w:t>)</w:t>
      </w:r>
    </w:p>
    <w:p>
      <w:pPr>
        <w:pStyle w:val="Nvel2Red"/>
        <w:numPr>
          <w:ilvl w:val="1"/>
          <w:numId w:val="207"/>
        </w:numPr>
        <w:ind w:left="0" w:hanging="0"/>
        <w:rPr/>
      </w:pPr>
      <w:r>
        <w:rPr>
          <w:i w:val="false"/>
          <w:iCs w:val="false"/>
          <w:color w:val="000000"/>
        </w:rPr>
        <w:t>Não haverá exigência de garantia contratual da execução.</w:t>
      </w:r>
    </w:p>
    <w:p>
      <w:pPr>
        <w:pStyle w:val="Ou"/>
        <w:rPr/>
      </w:pPr>
      <w:r>
        <w:rPr/>
      </w:r>
    </w:p>
    <w:p>
      <w:pPr>
        <w:pStyle w:val="Nivel01"/>
        <w:numPr>
          <w:ilvl w:val="0"/>
          <w:numId w:val="208"/>
        </w:numPr>
        <w:ind w:left="0" w:hanging="0"/>
        <w:rPr>
          <w:color w:val="FFFFFF" w:themeColor="background1"/>
        </w:rPr>
      </w:pPr>
      <w:r>
        <w:rPr/>
        <w:t>CLÁUSULA DÉCIMA SEGUNDA – INFRAÇÕES E SANÇÕES ADMINISTRATIVAS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w:t>
      </w:r>
      <w:r>
        <w:rPr>
          <w:rStyle w:val="LinkdaInternet"/>
        </w:rPr>
        <w:fldChar w:fldCharType="end"/>
      </w:r>
      <w:r>
        <w:rPr/>
        <w:t>)</w:t>
      </w:r>
    </w:p>
    <w:p>
      <w:pPr>
        <w:pStyle w:val="Nivel2"/>
        <w:numPr>
          <w:ilvl w:val="1"/>
          <w:numId w:val="209"/>
        </w:numPr>
        <w:ind w:left="0" w:hanging="0"/>
        <w:rPr/>
      </w:pPr>
      <w:r>
        <w:rPr/>
        <w:t xml:space="preserve">Comete infração administrativa, nos termos da </w:t>
      </w:r>
      <w:hyperlink r:id="rId4">
        <w:r>
          <w:rPr>
            <w:rStyle w:val="LinkdaInternet"/>
          </w:rPr>
          <w:t>Lei nº 14.133, de 2021</w:t>
        </w:r>
      </w:hyperlink>
      <w:r>
        <w:rPr/>
        <w:t>, o contratado que:</w:t>
      </w:r>
    </w:p>
    <w:p>
      <w:pPr>
        <w:pStyle w:val="Normal"/>
        <w:numPr>
          <w:ilvl w:val="2"/>
          <w:numId w:val="3"/>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3"/>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3"/>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3"/>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3"/>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3"/>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3"/>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3"/>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lesivo previsto no art. 5º da Lei nº 12.846, de 1º de agosto de 2013.</w:t>
      </w:r>
    </w:p>
    <w:p>
      <w:pPr>
        <w:pStyle w:val="Nivel2"/>
        <w:numPr>
          <w:ilvl w:val="1"/>
          <w:numId w:val="210"/>
        </w:numPr>
        <w:ind w:left="0" w:hanging="0"/>
        <w:rPr/>
      </w:pPr>
      <w:r>
        <w:rPr/>
        <w:t>Serão aplicadas ao contratado que incorrer nas infrações acima descritas as seguintes sanções:</w:t>
      </w:r>
    </w:p>
    <w:p>
      <w:pPr>
        <w:pStyle w:val="Normal"/>
        <w:numPr>
          <w:ilvl w:val="2"/>
          <w:numId w:val="4"/>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 xml:space="preserve">art. 156, §2º, da </w:t>
      </w:r>
      <w:r>
        <w:rPr>
          <w:rStyle w:val="LinkdaInternet"/>
          <w:sz w:val="20"/>
          <w:szCs w:val="20"/>
          <w:rFonts w:eastAsia="Arial" w:cs="Arial" w:ascii="Arial" w:hAnsi="Arial"/>
        </w:rPr>
        <w:fldChar w:fldCharType="end"/>
      </w:r>
      <w:bookmarkStart w:id="3" w:name="_Hlk114504069"/>
      <w:r>
        <w:rPr>
          <w:rStyle w:val="LinkdaInternet"/>
          <w:rFonts w:eastAsia="Arial" w:cs="Arial" w:ascii="Arial" w:hAnsi="Arial"/>
          <w:sz w:val="20"/>
          <w:szCs w:val="20"/>
        </w:rPr>
        <w:t>Lei nº 14.133, de 2021</w:t>
      </w:r>
      <w:bookmarkEnd w:id="3"/>
      <w:r>
        <w:rPr>
          <w:rFonts w:eastAsia="Arial" w:cs="Arial" w:ascii="Arial" w:hAnsi="Arial"/>
          <w:sz w:val="20"/>
          <w:szCs w:val="20"/>
        </w:rPr>
        <w:t>);</w:t>
      </w:r>
    </w:p>
    <w:p>
      <w:pPr>
        <w:pStyle w:val="Normal"/>
        <w:numPr>
          <w:ilvl w:val="2"/>
          <w:numId w:val="4"/>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2"/>
          <w:numId w:val="4"/>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2"/>
          <w:numId w:val="4"/>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Multa:</w:t>
      </w:r>
    </w:p>
    <w:p>
      <w:pPr>
        <w:pStyle w:val="Normal"/>
        <w:numPr>
          <w:ilvl w:val="3"/>
          <w:numId w:val="4"/>
        </w:numPr>
        <w:suppressAutoHyphens w:val="true"/>
        <w:spacing w:lineRule="auto" w:line="276" w:before="120" w:after="120"/>
        <w:ind w:left="567" w:hanging="0"/>
        <w:contextualSpacing/>
        <w:jc w:val="both"/>
        <w:rPr>
          <w:rFonts w:ascii="Arial" w:hAnsi="Arial" w:eastAsia="Arial" w:cs="Arial"/>
          <w:sz w:val="20"/>
          <w:szCs w:val="20"/>
        </w:rPr>
      </w:pPr>
      <w:r>
        <w:rPr>
          <w:rFonts w:eastAsia="Arial" w:cs="Arial" w:ascii="Arial" w:hAnsi="Arial"/>
          <w:sz w:val="20"/>
          <w:szCs w:val="20"/>
        </w:rPr>
        <w:t>Morat</w:t>
      </w:r>
      <w:r>
        <w:rPr>
          <w:rFonts w:eastAsia="Arial" w:cs="Arial" w:ascii="Arial" w:hAnsi="Arial"/>
          <w:color w:val="000000"/>
          <w:sz w:val="20"/>
          <w:szCs w:val="20"/>
        </w:rPr>
        <w:t>ória de 5% (cinco por cento)</w:t>
      </w:r>
      <w:r>
        <w:rPr>
          <w:rFonts w:eastAsia="Arial" w:cs="Arial" w:ascii="Arial" w:hAnsi="Arial"/>
          <w:sz w:val="20"/>
          <w:szCs w:val="20"/>
        </w:rPr>
        <w:t xml:space="preserve"> por dia de atraso injustificado sobre o valor da parcela inadimplida, até o limite de 30</w:t>
      </w:r>
      <w:r>
        <w:rPr>
          <w:rFonts w:eastAsia="Arial" w:cs="Arial" w:ascii="Arial" w:hAnsi="Arial"/>
          <w:color w:val="000000"/>
          <w:sz w:val="20"/>
          <w:szCs w:val="20"/>
        </w:rPr>
        <w:t xml:space="preserve"> (trinta) dias</w:t>
      </w:r>
      <w:r>
        <w:rPr>
          <w:rFonts w:eastAsia="Arial" w:cs="Arial" w:ascii="Arial" w:hAnsi="Arial"/>
          <w:sz w:val="20"/>
          <w:szCs w:val="20"/>
        </w:rPr>
        <w:t>;</w:t>
      </w:r>
    </w:p>
    <w:p>
      <w:pPr>
        <w:pStyle w:val="Normal"/>
        <w:numPr>
          <w:ilvl w:val="3"/>
          <w:numId w:val="4"/>
        </w:numPr>
        <w:suppressAutoHyphens w:val="true"/>
        <w:spacing w:lineRule="auto" w:line="276" w:before="120" w:after="120"/>
        <w:ind w:left="567" w:hanging="0"/>
        <w:contextualSpacing/>
        <w:jc w:val="both"/>
        <w:rPr>
          <w:i w:val="false"/>
          <w:i w:val="false"/>
          <w:iCs w:val="false"/>
          <w:color w:val="000000"/>
        </w:rPr>
      </w:pPr>
      <w:r>
        <w:rPr>
          <w:rFonts w:eastAsia="Arial" w:cs="Arial" w:ascii="Arial" w:hAnsi="Arial"/>
          <w:i w:val="false"/>
          <w:iCs w:val="false"/>
          <w:color w:val="000000"/>
          <w:sz w:val="20"/>
          <w:szCs w:val="20"/>
        </w:rPr>
        <w:t xml:space="preserve">Moratória de 5% (cinco por cento) do valor total do contrato por dia de atraso injustificado, até o máximo de 30% (trinta por cento), pela inobservância do prazo fixado para apresentação, suplementação ou reposição da garantia. </w:t>
      </w:r>
    </w:p>
    <w:p>
      <w:pPr>
        <w:pStyle w:val="Normal"/>
        <w:numPr>
          <w:ilvl w:val="7"/>
          <w:numId w:val="4"/>
        </w:numPr>
        <w:suppressAutoHyphens w:val="true"/>
        <w:spacing w:lineRule="auto" w:line="276" w:before="120" w:after="120"/>
        <w:ind w:left="851" w:hanging="0"/>
        <w:contextualSpacing/>
        <w:jc w:val="both"/>
        <w:rPr>
          <w:rFonts w:ascii="Arial" w:hAnsi="Arial" w:eastAsia="Arial" w:cs="Arial"/>
          <w:i/>
          <w:i/>
          <w:iCs/>
          <w:color w:val="FF0000"/>
          <w:sz w:val="20"/>
          <w:szCs w:val="20"/>
        </w:rPr>
      </w:pPr>
      <w:r>
        <w:rPr>
          <w:rFonts w:eastAsia="Arial" w:cs="Arial" w:ascii="Arial" w:hAnsi="Arial"/>
          <w:i w:val="false"/>
          <w:iCs w:val="false"/>
          <w:color w:val="000000"/>
          <w:sz w:val="20"/>
          <w:szCs w:val="20"/>
        </w:rPr>
        <w:t>O atraso superior a 90 (noventa) dias autoriza a Administração a promover a extinção do contrato por descumprimento ou cumprimento irregular de suas cláusulas, conforme dispõe o</w:t>
      </w:r>
      <w:r>
        <w:rPr>
          <w:rFonts w:eastAsia="Arial" w:cs="Arial" w:ascii="Arial" w:hAnsi="Arial"/>
          <w:i/>
          <w:iCs/>
          <w:color w:val="FF0000"/>
          <w:sz w:val="20"/>
          <w:szCs w:val="20"/>
        </w:rPr>
        <w:t xml:space="preserve"> </w:t>
      </w:r>
      <w:r>
        <w:fldChar w:fldCharType="begin"/>
      </w:r>
      <w:r>
        <w:rPr>
          <w:rStyle w:val="LinkdaInternet"/>
          <w:sz w:val="20"/>
          <w:i w:val="false"/>
          <w:szCs w:val="20"/>
          <w:iCs w:val="false"/>
          <w:rFonts w:eastAsia="Arial" w:cs="Arial" w:ascii="Arial" w:hAnsi="Arial"/>
        </w:rPr>
        <w:instrText> HYPERLINK "http://www.planalto.gov.br/ccivil_03/_ato2019-2022/2021/lei/L14133.htm" \l "art137"</w:instrText>
      </w:r>
      <w:r>
        <w:rPr>
          <w:rStyle w:val="LinkdaInternet"/>
          <w:sz w:val="20"/>
          <w:i w:val="false"/>
          <w:szCs w:val="20"/>
          <w:iCs w:val="false"/>
          <w:rFonts w:eastAsia="Arial" w:cs="Arial" w:ascii="Arial" w:hAnsi="Arial"/>
        </w:rPr>
        <w:fldChar w:fldCharType="separate"/>
      </w:r>
      <w:r>
        <w:rPr>
          <w:rStyle w:val="LinkdaInternet"/>
          <w:rFonts w:eastAsia="Arial" w:cs="Arial" w:ascii="Arial" w:hAnsi="Arial"/>
          <w:i w:val="false"/>
          <w:iCs w:val="false"/>
          <w:sz w:val="20"/>
          <w:szCs w:val="20"/>
        </w:rPr>
        <w:t>inciso I do art. 137 da Lei n. 14.133, de 2021</w:t>
      </w:r>
      <w:r>
        <w:rPr>
          <w:rStyle w:val="LinkdaInternet"/>
          <w:sz w:val="20"/>
          <w:i w:val="false"/>
          <w:szCs w:val="20"/>
          <w:iCs w:val="false"/>
          <w:rFonts w:eastAsia="Arial" w:cs="Arial" w:ascii="Arial" w:hAnsi="Arial"/>
        </w:rPr>
        <w:fldChar w:fldCharType="end"/>
      </w:r>
      <w:r>
        <w:rPr>
          <w:rFonts w:eastAsia="Arial" w:cs="Arial" w:ascii="Arial" w:hAnsi="Arial"/>
          <w:i w:val="false"/>
          <w:iCs w:val="false"/>
          <w:color w:val="FF0000"/>
          <w:sz w:val="20"/>
          <w:szCs w:val="20"/>
        </w:rPr>
        <w:t xml:space="preserve">. </w:t>
      </w:r>
    </w:p>
    <w:p>
      <w:pPr>
        <w:pStyle w:val="Normal"/>
        <w:numPr>
          <w:ilvl w:val="3"/>
          <w:numId w:val="4"/>
        </w:numPr>
        <w:suppressAutoHyphens w:val="true"/>
        <w:spacing w:lineRule="auto" w:line="276" w:before="120" w:after="120"/>
        <w:ind w:left="567" w:hanging="0"/>
        <w:contextualSpacing/>
        <w:jc w:val="both"/>
        <w:rPr/>
      </w:pPr>
      <w:r>
        <w:rPr>
          <w:rFonts w:eastAsia="Arial" w:cs="Arial" w:ascii="Arial" w:hAnsi="Arial"/>
          <w:sz w:val="20"/>
          <w:szCs w:val="20"/>
        </w:rPr>
        <w:t xml:space="preserve"> </w:t>
      </w:r>
      <w:r>
        <w:rPr>
          <w:rFonts w:eastAsia="Arial" w:cs="Arial" w:ascii="Arial" w:hAnsi="Arial"/>
          <w:sz w:val="20"/>
          <w:szCs w:val="20"/>
        </w:rPr>
        <w:t>Compensatória, para as infrações descritas nas alíneas “e” a “h” do subitem 12.1, de 20% a 30 % do valor do Contrato.</w:t>
      </w:r>
    </w:p>
    <w:p>
      <w:pPr>
        <w:pStyle w:val="Normal"/>
        <w:numPr>
          <w:ilvl w:val="3"/>
          <w:numId w:val="4"/>
        </w:numPr>
        <w:suppressAutoHyphens w:val="true"/>
        <w:spacing w:lineRule="auto" w:line="276" w:before="120" w:after="120"/>
        <w:ind w:left="567" w:hanging="0"/>
        <w:contextualSpacing/>
        <w:jc w:val="both"/>
        <w:rPr/>
      </w:pPr>
      <w:r>
        <w:rPr>
          <w:rFonts w:eastAsia="Arial" w:cs="Arial" w:ascii="Arial" w:hAnsi="Arial"/>
          <w:sz w:val="20"/>
          <w:szCs w:val="20"/>
        </w:rPr>
        <w:t xml:space="preserve">Compensatória, para a inexecução total do contrato prevista na alínea “c” do subitem 12.1, de 15 % a 20 %  do valor do Contrato. </w:t>
      </w:r>
    </w:p>
    <w:p>
      <w:pPr>
        <w:pStyle w:val="Normal"/>
        <w:numPr>
          <w:ilvl w:val="3"/>
          <w:numId w:val="4"/>
        </w:numPr>
        <w:suppressAutoHyphens w:val="true"/>
        <w:spacing w:lineRule="auto" w:line="276" w:before="120" w:after="120"/>
        <w:ind w:left="567" w:hanging="0"/>
        <w:contextualSpacing/>
        <w:jc w:val="both"/>
        <w:rPr/>
      </w:pPr>
      <w:r>
        <w:rPr>
          <w:rFonts w:eastAsia="Arial" w:cs="Arial" w:ascii="Arial" w:hAnsi="Arial"/>
          <w:sz w:val="20"/>
          <w:szCs w:val="20"/>
        </w:rPr>
        <w:t>Para infração descrita na alínea “b” do subitem 12.1, a multa será de 10% a 15 %  do valor do Contrato.</w:t>
      </w:r>
    </w:p>
    <w:p>
      <w:pPr>
        <w:pStyle w:val="Normal"/>
        <w:numPr>
          <w:ilvl w:val="3"/>
          <w:numId w:val="4"/>
        </w:numPr>
        <w:suppressAutoHyphens w:val="true"/>
        <w:spacing w:lineRule="auto" w:line="276" w:before="120" w:after="120"/>
        <w:ind w:left="567" w:hanging="0"/>
        <w:contextualSpacing/>
        <w:jc w:val="both"/>
        <w:rPr/>
      </w:pPr>
      <w:r>
        <w:rPr>
          <w:rFonts w:eastAsia="Arial" w:cs="Arial" w:ascii="Arial" w:hAnsi="Arial"/>
          <w:sz w:val="20"/>
          <w:szCs w:val="20"/>
        </w:rPr>
        <w:t>Para infrações descritas na alínea “d” do subitem 12.1, a multa será de 5%  a 10 %  dovalor do Contrato.</w:t>
      </w:r>
    </w:p>
    <w:p>
      <w:pPr>
        <w:pStyle w:val="Normal"/>
        <w:numPr>
          <w:ilvl w:val="3"/>
          <w:numId w:val="4"/>
        </w:numPr>
        <w:suppressAutoHyphens w:val="true"/>
        <w:spacing w:lineRule="auto" w:line="276" w:before="120" w:after="120"/>
        <w:ind w:left="567" w:hanging="0"/>
        <w:contextualSpacing/>
        <w:jc w:val="both"/>
        <w:rPr/>
      </w:pPr>
      <w:r>
        <w:rPr>
          <w:rFonts w:eastAsia="Arial" w:cs="Arial" w:ascii="Arial" w:hAnsi="Arial"/>
          <w:sz w:val="20"/>
          <w:szCs w:val="20"/>
        </w:rPr>
        <w:t>Para a infração descrita na alínea “a” do subitem 12.1, a multa será de 3% a 5 % do valor do Contrato, ressalvadas as seguintes infrações:</w:t>
      </w:r>
    </w:p>
    <w:p>
      <w:pPr>
        <w:pStyle w:val="Normal"/>
        <w:suppressAutoHyphens w:val="true"/>
        <w:spacing w:lineRule="auto" w:line="276" w:before="120" w:after="120"/>
        <w:ind w:left="851" w:hanging="0"/>
        <w:contextualSpacing/>
        <w:jc w:val="both"/>
        <w:rPr>
          <w:rFonts w:ascii="Arial" w:hAnsi="Arial" w:eastAsia="Arial" w:cs="Arial"/>
          <w:sz w:val="20"/>
          <w:szCs w:val="20"/>
        </w:rPr>
      </w:pPr>
      <w:r>
        <w:rPr>
          <w:rFonts w:eastAsia="Arial" w:cs="Arial" w:ascii="Arial" w:hAnsi="Arial"/>
          <w:sz w:val="20"/>
          <w:szCs w:val="20"/>
        </w:rPr>
      </w:r>
    </w:p>
    <w:p>
      <w:pPr>
        <w:pStyle w:val="Nivel2"/>
        <w:numPr>
          <w:ilvl w:val="1"/>
          <w:numId w:val="211"/>
        </w:numPr>
        <w:ind w:left="0" w:hanging="0"/>
        <w:rPr/>
      </w:pPr>
      <w:r>
        <w:rPr/>
        <w:t>A aplicação das sanções previstas neste Contrato não exclui, em hipótese alguma, a obrigação de reparação integral do dano causado ao Contratante (</w:t>
      </w:r>
      <w:r>
        <w:fldChar w:fldCharType="begin"/>
      </w:r>
      <w:r>
        <w:rPr>
          <w:rStyle w:val="LinkdaInternet"/>
        </w:rPr>
        <w:instrText> HYPERLINK "http://www.planalto.gov.br/ccivil_03/_ato2019-2022/2021/lei/L14133.htm" \l "art156§9"</w:instrText>
      </w:r>
      <w:r>
        <w:rPr>
          <w:rStyle w:val="LinkdaInternet"/>
        </w:rPr>
        <w:fldChar w:fldCharType="separate"/>
      </w:r>
      <w:r>
        <w:rPr>
          <w:rStyle w:val="LinkdaInternet"/>
        </w:rPr>
        <w:t>art. 156, §9º, da Lei nº 14.133, de 2021</w:t>
      </w:r>
      <w:r>
        <w:rPr>
          <w:rStyle w:val="LinkdaInternet"/>
        </w:rPr>
        <w:fldChar w:fldCharType="end"/>
      </w:r>
      <w:r>
        <w:rPr/>
        <w:t>)</w:t>
      </w:r>
    </w:p>
    <w:p>
      <w:pPr>
        <w:pStyle w:val="Nivel2"/>
        <w:numPr>
          <w:ilvl w:val="1"/>
          <w:numId w:val="212"/>
        </w:numPr>
        <w:ind w:left="0" w:hanging="0"/>
        <w:rPr/>
      </w:pPr>
      <w:r>
        <w:rPr/>
        <w:t>Todas as sanções previstas neste Contrato poderão ser aplicadas cumulativamente com a multa (</w:t>
      </w:r>
      <w:r>
        <w:fldChar w:fldCharType="begin"/>
      </w:r>
      <w:r>
        <w:rPr>
          <w:rStyle w:val="LinkdaInternet"/>
        </w:rPr>
        <w:instrText> HYPERLINK "http://www.planalto.gov.br/ccivil_03/_ato2019-2022/2021/lei/L14133.htm" \l "art156§7"</w:instrText>
      </w:r>
      <w:r>
        <w:rPr>
          <w:rStyle w:val="LinkdaInternet"/>
        </w:rPr>
        <w:fldChar w:fldCharType="separate"/>
      </w:r>
      <w:r>
        <w:rPr>
          <w:rStyle w:val="LinkdaInternet"/>
        </w:rPr>
        <w:t>art. 156, §7º, da Lei nº 14.133, de 2021</w:t>
      </w:r>
      <w:r>
        <w:rPr>
          <w:rStyle w:val="LinkdaInternet"/>
        </w:rPr>
        <w:fldChar w:fldCharType="end"/>
      </w:r>
      <w:r>
        <w:rPr/>
        <w:t>).</w:t>
      </w:r>
    </w:p>
    <w:p>
      <w:pPr>
        <w:pStyle w:val="Nivel3"/>
        <w:numPr>
          <w:ilvl w:val="2"/>
          <w:numId w:val="213"/>
        </w:numPr>
        <w:ind w:left="284" w:hanging="0"/>
        <w:rPr/>
      </w:pPr>
      <w:r>
        <w:rPr/>
        <w:t>Antes da aplicação da multa será facultada a defesa do interessado no prazo de 15 (quinze) dias úteis, contado da data de sua intimação (</w:t>
      </w:r>
      <w:r>
        <w:fldChar w:fldCharType="begin"/>
      </w:r>
      <w:r>
        <w:rPr>
          <w:rStyle w:val="LinkdaInternet"/>
        </w:rPr>
        <w:instrText> HYPERLINK "http://www.planalto.gov.br/ccivil_03/_ato2019-2022/2021/lei/L14133.htm" \l "art157"</w:instrText>
      </w:r>
      <w:r>
        <w:rPr>
          <w:rStyle w:val="LinkdaInternet"/>
        </w:rPr>
        <w:fldChar w:fldCharType="separate"/>
      </w:r>
      <w:r>
        <w:rPr>
          <w:rStyle w:val="LinkdaInternet"/>
        </w:rPr>
        <w:t>art. 157, da Lei nº 14.133, de 2021</w:t>
      </w:r>
      <w:r>
        <w:rPr>
          <w:rStyle w:val="LinkdaInternet"/>
        </w:rPr>
        <w:fldChar w:fldCharType="end"/>
      </w:r>
      <w:r>
        <w:rPr/>
        <w:t>)</w:t>
      </w:r>
    </w:p>
    <w:p>
      <w:pPr>
        <w:pStyle w:val="Nivel2"/>
        <w:numPr>
          <w:ilvl w:val="1"/>
          <w:numId w:val="214"/>
        </w:numPr>
        <w:ind w:left="0" w:hanging="0"/>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rPr>
        <w:instrText> HYPERLINK "http://www.planalto.gov.br/ccivil_03/_ato2019-2022/2021/lei/L14133.htm" \l "art156§8"</w:instrText>
      </w:r>
      <w:r>
        <w:rPr>
          <w:rStyle w:val="LinkdaInternet"/>
        </w:rPr>
        <w:fldChar w:fldCharType="separate"/>
      </w:r>
      <w:r>
        <w:rPr>
          <w:rStyle w:val="LinkdaInternet"/>
        </w:rPr>
        <w:t>art. 156, §8º, da Lei nº 14.133, de 2021</w:t>
      </w:r>
      <w:r>
        <w:rPr>
          <w:rStyle w:val="LinkdaInternet"/>
        </w:rPr>
        <w:fldChar w:fldCharType="end"/>
      </w:r>
      <w:r>
        <w:rPr/>
        <w:t>).</w:t>
      </w:r>
    </w:p>
    <w:p>
      <w:pPr>
        <w:pStyle w:val="Nivel2"/>
        <w:numPr>
          <w:ilvl w:val="1"/>
          <w:numId w:val="215"/>
        </w:numPr>
        <w:ind w:left="0" w:hanging="0"/>
        <w:rPr/>
      </w:pPr>
      <w:r>
        <w:rPr/>
        <w:t xml:space="preserve">Previamente ao encaminhamento à cobrança judicial, a multa poderá ser recolhida administrativamente no prazo máximo de </w:t>
      </w:r>
      <w:r>
        <w:rPr>
          <w:rFonts w:ascii="Times New Roman" w:hAnsi="Times New Roman"/>
          <w:sz w:val="22"/>
          <w:szCs w:val="22"/>
        </w:rPr>
        <w:t>de 10</w:t>
      </w:r>
      <w:r>
        <w:rPr>
          <w:rFonts w:ascii="Times New Roman" w:hAnsi="Times New Roman"/>
          <w:i w:val="false"/>
          <w:iCs w:val="false"/>
          <w:color w:val="000000"/>
          <w:sz w:val="22"/>
          <w:szCs w:val="22"/>
        </w:rPr>
        <w:t xml:space="preserve"> (dez)</w:t>
      </w:r>
      <w:r>
        <w:rPr>
          <w:rFonts w:ascii="Times New Roman" w:hAnsi="Times New Roman"/>
          <w:i/>
          <w:iCs/>
          <w:color w:val="FF0000"/>
          <w:sz w:val="22"/>
          <w:szCs w:val="22"/>
        </w:rPr>
        <w:t xml:space="preserve"> </w:t>
      </w:r>
      <w:r>
        <w:rPr>
          <w:rFonts w:ascii="Times New Roman" w:hAnsi="Times New Roman"/>
          <w:sz w:val="22"/>
          <w:szCs w:val="22"/>
        </w:rPr>
        <w:t>dias</w:t>
      </w:r>
      <w:r>
        <w:rPr/>
        <w:t>, a contar da data do recebimento da comunicação enviada pela autoridade competente.</w:t>
      </w:r>
      <w:bookmarkStart w:id="4" w:name="_Hlk78351618"/>
      <w:bookmarkEnd w:id="4"/>
    </w:p>
    <w:p>
      <w:pPr>
        <w:pStyle w:val="Nivel2"/>
        <w:numPr>
          <w:ilvl w:val="1"/>
          <w:numId w:val="216"/>
        </w:numPr>
        <w:ind w:left="0" w:hanging="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LinkdaInternet"/>
        </w:rPr>
        <w:instrText> HYPERLINK "http://www.planalto.gov.br/ccivil_03/_ato2019-2022/2021/lei/L14133.htm" \l "art158"</w:instrText>
      </w:r>
      <w:r>
        <w:rPr>
          <w:rStyle w:val="LinkdaInternet"/>
        </w:rPr>
        <w:fldChar w:fldCharType="separate"/>
      </w:r>
      <w:r>
        <w:rPr>
          <w:rStyle w:val="LinkdaInternet"/>
        </w:rPr>
        <w:t>art. 158 da Lei nº 14.133, de 2021</w:t>
      </w:r>
      <w:r>
        <w:rPr>
          <w:rStyle w:val="LinkdaInternet"/>
        </w:rPr>
        <w:fldChar w:fldCharType="end"/>
      </w:r>
      <w:r>
        <w:rPr/>
        <w:t>, para as penalidades de impedimento de licitar e contratar e de declaração de inidoneidade para licitar ou contratar.</w:t>
      </w:r>
    </w:p>
    <w:p>
      <w:pPr>
        <w:pStyle w:val="Nivel2"/>
        <w:numPr>
          <w:ilvl w:val="1"/>
          <w:numId w:val="217"/>
        </w:numPr>
        <w:ind w:left="0" w:hanging="0"/>
        <w:rPr/>
      </w:pPr>
      <w:r>
        <w:rPr/>
        <w:t>Na aplicação das sanções serão considerados (</w:t>
      </w:r>
      <w:r>
        <w:fldChar w:fldCharType="begin"/>
      </w:r>
      <w:r>
        <w:rPr>
          <w:rStyle w:val="LinkdaInternet"/>
        </w:rPr>
        <w:instrText> HYPERLINK "http://www.planalto.gov.br/ccivil_03/_ato2019-2022/2021/lei/L14133.htm" \l "art156§1"</w:instrText>
      </w:r>
      <w:r>
        <w:rPr>
          <w:rStyle w:val="LinkdaInternet"/>
        </w:rPr>
        <w:fldChar w:fldCharType="separate"/>
      </w:r>
      <w:r>
        <w:rPr>
          <w:rStyle w:val="LinkdaInternet"/>
        </w:rPr>
        <w:t>art. 156, §1º, da Lei nº 14.133, de 2021</w:t>
      </w:r>
      <w:r>
        <w:rPr>
          <w:rStyle w:val="LinkdaInternet"/>
        </w:rPr>
        <w:fldChar w:fldCharType="end"/>
      </w:r>
      <w:r>
        <w:rPr/>
        <w:t>):</w:t>
      </w:r>
    </w:p>
    <w:p>
      <w:pPr>
        <w:pStyle w:val="Normal"/>
        <w:numPr>
          <w:ilvl w:val="0"/>
          <w:numId w:val="1"/>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1"/>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1"/>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1"/>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1"/>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218"/>
        </w:numPr>
        <w:ind w:left="0" w:hanging="0"/>
        <w:rPr/>
      </w:pPr>
      <w:r>
        <w:rPr/>
        <w:t xml:space="preserve">Os atos previstos como infrações administrativas na </w:t>
      </w:r>
      <w:hyperlink r:id="rId5">
        <w:r>
          <w:rPr>
            <w:rStyle w:val="LinkdaInternet"/>
          </w:rPr>
          <w:t>Lei nº 14.133, de 2021</w:t>
        </w:r>
      </w:hyperlink>
      <w:r>
        <w:rPr/>
        <w:t xml:space="preserve">, ou em outras leis de licitações e contratos da Administração Pública que também sejam tipificados como atos lesivos </w:t>
      </w:r>
      <w:hyperlink r:id="rId6">
        <w:r>
          <w:rPr>
            <w:rStyle w:val="LinkdaInternet"/>
          </w:rPr>
          <w:t>na Lei nº 12.846, de 2013</w:t>
        </w:r>
      </w:hyperlink>
      <w:r>
        <w:rPr/>
        <w:t xml:space="preserve">, serão apurados e julgados conjuntamente, nos mesmos autos, observados o rito procedimental e autoridade competente definidos na referida </w:t>
      </w:r>
      <w:r>
        <w:fldChar w:fldCharType="begin"/>
      </w:r>
      <w:r>
        <w:rPr>
          <w:rStyle w:val="LinkdaInternet"/>
        </w:rPr>
        <w:instrText> HYPERLINK "http://www.planalto.gov.br/ccivil_03/_ato2019-2022/2021/lei/L14133.htm" \l "art159"</w:instrText>
      </w:r>
      <w:r>
        <w:rPr>
          <w:rStyle w:val="LinkdaInternet"/>
        </w:rPr>
        <w:fldChar w:fldCharType="separate"/>
      </w:r>
      <w:r>
        <w:rPr>
          <w:rStyle w:val="LinkdaInternet"/>
        </w:rPr>
        <w:t>Lei (art. 159</w:t>
      </w:r>
      <w:r>
        <w:rPr>
          <w:rStyle w:val="LinkdaInternet"/>
        </w:rPr>
        <w:fldChar w:fldCharType="end"/>
      </w:r>
      <w:r>
        <w:rPr/>
        <w:t>).</w:t>
      </w:r>
    </w:p>
    <w:p>
      <w:pPr>
        <w:pStyle w:val="Nivel2"/>
        <w:numPr>
          <w:ilvl w:val="1"/>
          <w:numId w:val="219"/>
        </w:numPr>
        <w:ind w:left="0" w:hanging="0"/>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HYPERLINK "http://www.planalto.gov.br/ccivil_03/_ato2019-2022/2021/lei/L14133.htm" \l "art160"</w:instrText>
      </w:r>
      <w:r>
        <w:rPr>
          <w:rStyle w:val="LinkdaInternet"/>
        </w:rPr>
        <w:fldChar w:fldCharType="separate"/>
      </w:r>
      <w:r>
        <w:rPr>
          <w:rStyle w:val="LinkdaInternet"/>
        </w:rPr>
        <w:t>art. 160, da Lei nº 14.133, de 2021</w:t>
      </w:r>
      <w:r>
        <w:rPr>
          <w:rStyle w:val="LinkdaInternet"/>
        </w:rPr>
        <w:fldChar w:fldCharType="end"/>
      </w:r>
      <w:r>
        <w:rPr/>
        <w:t>)</w:t>
      </w:r>
    </w:p>
    <w:p>
      <w:pPr>
        <w:pStyle w:val="Nivel2"/>
        <w:numPr>
          <w:ilvl w:val="1"/>
          <w:numId w:val="220"/>
        </w:numPr>
        <w:ind w:left="0" w:hanging="0"/>
        <w:rPr>
          <w:i/>
          <w:i/>
          <w:iCs/>
        </w:rPr>
      </w:pPr>
      <w:r>
        <w:rPr/>
        <w:t xml:space="preserve"> </w:t>
      </w:r>
      <w:r>
        <w:rPr/>
        <w:t xml:space="preserve">O Contratante deverá, no prazo máximo </w:t>
      </w:r>
      <w:r>
        <w:rPr>
          <w:color w:val="auto"/>
        </w:rPr>
        <w:t>de</w:t>
      </w:r>
      <w:r>
        <w:rPr>
          <w:color w:val="00B050"/>
        </w:rPr>
        <w:t xml:space="preserve"> </w:t>
      </w:r>
      <w:r>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rPr>
        <w:instrText> HYPERLINK "http://www.planalto.gov.br/ccivil_03/_ato2019-2022/2021/lei/L14133.htm" \l "art161"</w:instrText>
      </w:r>
      <w:r>
        <w:rPr>
          <w:rStyle w:val="LinkdaInternet"/>
        </w:rPr>
        <w:fldChar w:fldCharType="separate"/>
      </w:r>
      <w:r>
        <w:rPr>
          <w:rStyle w:val="LinkdaInternet"/>
        </w:rPr>
        <w:t>Art. 161, da Lei nº 14.133, de 2021</w:t>
      </w:r>
      <w:r>
        <w:rPr>
          <w:rStyle w:val="LinkdaInternet"/>
        </w:rPr>
        <w:fldChar w:fldCharType="end"/>
      </w:r>
      <w:r>
        <w:rPr/>
        <w:t>)</w:t>
      </w:r>
    </w:p>
    <w:p>
      <w:pPr>
        <w:pStyle w:val="Nivel2"/>
        <w:numPr>
          <w:ilvl w:val="1"/>
          <w:numId w:val="221"/>
        </w:numPr>
        <w:ind w:left="0" w:hanging="0"/>
        <w:rPr>
          <w:i/>
          <w:i/>
          <w:iCs/>
        </w:rPr>
      </w:pPr>
      <w:r>
        <w:rPr/>
        <w:t xml:space="preserve">As sanções de impedimento de licitar e contratar e declaração de inidoneidade para licitar ou contratar são passíveis de reabilitação na forma do </w:t>
      </w:r>
      <w:r>
        <w:fldChar w:fldCharType="begin"/>
      </w:r>
      <w:r>
        <w:rPr>
          <w:rStyle w:val="LinkdaInternet"/>
        </w:rPr>
        <w:instrText> HYPERLINK "http://www.planalto.gov.br/ccivil_03/_ato2019-2022/2021/lei/L14133.htm" \l "art163"</w:instrText>
      </w:r>
      <w:r>
        <w:rPr>
          <w:rStyle w:val="LinkdaInternet"/>
        </w:rPr>
        <w:fldChar w:fldCharType="separate"/>
      </w:r>
      <w:r>
        <w:rPr>
          <w:rStyle w:val="LinkdaInternet"/>
        </w:rPr>
        <w:t>art. 163 da Lei nº 14.133/21.</w:t>
      </w:r>
      <w:r>
        <w:rPr>
          <w:rStyle w:val="LinkdaInternet"/>
        </w:rPr>
        <w:fldChar w:fldCharType="end"/>
      </w:r>
    </w:p>
    <w:p>
      <w:pPr>
        <w:pStyle w:val="Nivel2"/>
        <w:numPr>
          <w:ilvl w:val="1"/>
          <w:numId w:val="222"/>
        </w:numPr>
        <w:ind w:left="0" w:hanging="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7">
        <w:r>
          <w:rPr>
            <w:rStyle w:val="LinkdaInternet"/>
          </w:rPr>
          <w:t>Instrução Normativa SEGES/ME nº 26, de 13 de abril de 2022</w:t>
        </w:r>
      </w:hyperlink>
      <w:r>
        <w:rPr/>
        <w:t xml:space="preserve">. </w:t>
      </w:r>
    </w:p>
    <w:p>
      <w:pPr>
        <w:pStyle w:val="Nivel01"/>
        <w:numPr>
          <w:ilvl w:val="0"/>
          <w:numId w:val="223"/>
        </w:numPr>
        <w:ind w:left="0" w:hanging="0"/>
        <w:rPr>
          <w:color w:val="FFFFFF" w:themeColor="background1"/>
        </w:rPr>
      </w:pPr>
      <w:r>
        <w:rPr/>
        <w:t>CLÁUSULA DÉCIMA TERCEIRA – DA EXTINÇÃO CONTRATUAL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XIX</w:t>
      </w:r>
      <w:r>
        <w:rPr>
          <w:rStyle w:val="LinkdaInternet"/>
        </w:rPr>
        <w:fldChar w:fldCharType="end"/>
      </w:r>
      <w:r>
        <w:rPr/>
        <w:t>)</w:t>
      </w:r>
    </w:p>
    <w:p>
      <w:pPr>
        <w:pStyle w:val="Nvel2Red"/>
        <w:numPr>
          <w:ilvl w:val="1"/>
          <w:numId w:val="224"/>
        </w:numPr>
        <w:ind w:left="0" w:hanging="0"/>
        <w:rPr>
          <w:i w:val="false"/>
          <w:i w:val="false"/>
          <w:iCs w:val="false"/>
          <w:color w:val="000000"/>
        </w:rPr>
      </w:pPr>
      <w:r>
        <w:rPr>
          <w:i w:val="false"/>
          <w:iCs w:val="false"/>
          <w:color w:val="000000"/>
        </w:rPr>
        <w:t>O contrato será extinto quando vencido o prazo nele estipulado, independentemente de terem sido cumpridas ou não as obrigações de ambas as partes contraentes.</w:t>
      </w:r>
    </w:p>
    <w:p>
      <w:pPr>
        <w:pStyle w:val="Nvel2Red"/>
        <w:numPr>
          <w:ilvl w:val="1"/>
          <w:numId w:val="225"/>
        </w:numPr>
        <w:ind w:left="0" w:hanging="0"/>
        <w:rPr>
          <w:i w:val="false"/>
          <w:i w:val="false"/>
          <w:iCs w:val="false"/>
          <w:color w:val="000000"/>
        </w:rPr>
      </w:pPr>
      <w:r>
        <w:rPr>
          <w:i w:val="false"/>
          <w:iCs w:val="false"/>
          <w:color w:val="000000"/>
        </w:rPr>
        <w:t>O contrato poderá ser extinto antes do prazo nele fixado, sem ônus para o contratante, quando esta não dispuser de créditos orçamentários para sua continuidade ou quando entender que o contrato não mais lhe oferece vantagem.</w:t>
      </w:r>
    </w:p>
    <w:p>
      <w:pPr>
        <w:pStyle w:val="Nvel2Red"/>
        <w:numPr>
          <w:ilvl w:val="1"/>
          <w:numId w:val="226"/>
        </w:numPr>
        <w:ind w:left="0" w:hanging="0"/>
        <w:rPr>
          <w:i w:val="false"/>
          <w:i w:val="false"/>
          <w:iCs w:val="false"/>
          <w:color w:val="000000"/>
        </w:rPr>
      </w:pPr>
      <w:r>
        <w:rPr>
          <w:i w:val="false"/>
          <w:iCs w:val="false"/>
          <w:color w:val="000000"/>
        </w:rPr>
        <w:t>A extinção nesta hipótese ocorrerá na próxima data de aniversário do contrato, desde que haja a notificação do contratado pelo contratante nesse sentido com pelo menos 2 (dois) meses de antecedência desse dia.</w:t>
      </w:r>
    </w:p>
    <w:p>
      <w:pPr>
        <w:pStyle w:val="Nvel2Red"/>
        <w:numPr>
          <w:ilvl w:val="1"/>
          <w:numId w:val="227"/>
        </w:numPr>
        <w:ind w:left="0" w:hanging="0"/>
        <w:rPr/>
      </w:pPr>
      <w:r>
        <w:rPr>
          <w:i w:val="false"/>
          <w:iCs w:val="false"/>
          <w:color w:val="000000"/>
        </w:rPr>
        <w:t>Caso a notificação da não-continuidade do contrato de que trata este subitem ocorra com menos de 2 (dois) meses da data de aniversário, a extinção contratual ocorrerá após 2 (dois) meses da data da comunicação.</w:t>
      </w:r>
    </w:p>
    <w:p>
      <w:pPr>
        <w:pStyle w:val="Nivel2"/>
        <w:numPr>
          <w:ilvl w:val="1"/>
          <w:numId w:val="228"/>
        </w:numPr>
        <w:ind w:left="0" w:hanging="0"/>
        <w:rPr/>
      </w:pPr>
      <w:r>
        <w:rPr/>
        <w:t xml:space="preserve">O contrato poderá ser extinto antes de cumpridas as obrigações nele estipuladas, ou antes do prazo nele fixado, por algum dos motivos previstos no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artigo 137 da Lei nº 14.133/21</w:t>
      </w:r>
      <w:r>
        <w:rPr>
          <w:rStyle w:val="LinkdaInternet"/>
        </w:rPr>
        <w:fldChar w:fldCharType="end"/>
      </w:r>
      <w:r>
        <w:rPr/>
        <w:t xml:space="preserve">, bem como amigavelmente, </w:t>
      </w:r>
      <w:r>
        <w:rPr>
          <w:color w:val="000000" w:themeColor="text1"/>
        </w:rPr>
        <w:t>assegurados o contraditório e a ampla defesa</w:t>
      </w:r>
      <w:r>
        <w:rPr/>
        <w:t>.</w:t>
      </w:r>
    </w:p>
    <w:p>
      <w:pPr>
        <w:pStyle w:val="Nivel3"/>
        <w:numPr>
          <w:ilvl w:val="2"/>
          <w:numId w:val="229"/>
        </w:numPr>
        <w:ind w:left="284" w:hanging="0"/>
        <w:rPr/>
      </w:pPr>
      <w:r>
        <w:rPr/>
        <w:t xml:space="preserve">Nesta hipótese, aplicam-se também os </w:t>
      </w:r>
      <w:r>
        <w:fldChar w:fldCharType="begin"/>
      </w:r>
      <w:r>
        <w:rPr>
          <w:rStyle w:val="LinkdaInternet"/>
        </w:rPr>
        <w:instrText> HYPERLINK "http://www.planalto.gov.br/ccivil_03/_ato2019-2022/2021/lei/L14133.htm" \l "art138"</w:instrText>
      </w:r>
      <w:r>
        <w:rPr>
          <w:rStyle w:val="LinkdaInternet"/>
        </w:rPr>
        <w:fldChar w:fldCharType="separate"/>
      </w:r>
      <w:r>
        <w:rPr>
          <w:rStyle w:val="LinkdaInternet"/>
        </w:rPr>
        <w:t>artigos 138 e 139</w:t>
      </w:r>
      <w:r>
        <w:rPr>
          <w:rStyle w:val="LinkdaInternet"/>
        </w:rPr>
        <w:fldChar w:fldCharType="end"/>
      </w:r>
      <w:r>
        <w:rPr/>
        <w:t xml:space="preserve"> da mesma Lei.</w:t>
      </w:r>
    </w:p>
    <w:p>
      <w:pPr>
        <w:pStyle w:val="Nivel3"/>
        <w:numPr>
          <w:ilvl w:val="2"/>
          <w:numId w:val="230"/>
        </w:numPr>
        <w:ind w:left="284" w:hanging="0"/>
        <w:rPr/>
      </w:pPr>
      <w:r>
        <w:rPr/>
        <w:t>A alteração social ou a modificação da finalidade ou da estrutura da empresa não ensejará a extinção se não restringir sua capacidade de concluir o contrato.</w:t>
      </w:r>
    </w:p>
    <w:p>
      <w:pPr>
        <w:pStyle w:val="Nivel4"/>
        <w:numPr>
          <w:ilvl w:val="3"/>
          <w:numId w:val="231"/>
        </w:numPr>
        <w:ind w:left="567" w:hanging="0"/>
        <w:rPr/>
      </w:pPr>
      <w:r>
        <w:rPr>
          <w:color w:val="000000" w:themeColor="text1"/>
        </w:rPr>
        <w:t xml:space="preserve">Se a operação </w:t>
      </w:r>
      <w:r>
        <w:rPr/>
        <w:t>implicar mudança da pessoa jurídica contratada, deverá ser formalizado termo aditivo para alteração subjetiva.</w:t>
      </w:r>
    </w:p>
    <w:p>
      <w:pPr>
        <w:pStyle w:val="Nivel2"/>
        <w:numPr>
          <w:ilvl w:val="1"/>
          <w:numId w:val="232"/>
        </w:numPr>
        <w:ind w:left="0" w:hanging="0"/>
        <w:rPr/>
      </w:pPr>
      <w:r>
        <w:rPr/>
        <w:t>O termo de extinção, sempre que possível, será precedido:</w:t>
      </w:r>
    </w:p>
    <w:p>
      <w:pPr>
        <w:pStyle w:val="Nivel4"/>
        <w:numPr>
          <w:ilvl w:val="3"/>
          <w:numId w:val="233"/>
        </w:numPr>
        <w:ind w:left="567" w:hanging="0"/>
        <w:rPr/>
      </w:pPr>
      <w:r>
        <w:rPr/>
        <w:t>Balanço dos eventos contratuais já cumpridos ou parcialmente cumpridos;</w:t>
      </w:r>
    </w:p>
    <w:p>
      <w:pPr>
        <w:pStyle w:val="Nivel4"/>
        <w:numPr>
          <w:ilvl w:val="3"/>
          <w:numId w:val="234"/>
        </w:numPr>
        <w:ind w:left="567" w:hanging="0"/>
        <w:rPr/>
      </w:pPr>
      <w:r>
        <w:rPr/>
        <w:t>Relação dos pagamentos já efetuados e ainda devidos;</w:t>
      </w:r>
    </w:p>
    <w:p>
      <w:pPr>
        <w:pStyle w:val="Nivel4"/>
        <w:numPr>
          <w:ilvl w:val="3"/>
          <w:numId w:val="235"/>
        </w:numPr>
        <w:ind w:left="567" w:hanging="0"/>
        <w:rPr/>
      </w:pPr>
      <w:r>
        <w:rPr/>
        <w:t>Indenizações e multas.</w:t>
      </w:r>
    </w:p>
    <w:p>
      <w:pPr>
        <w:pStyle w:val="Nivel2"/>
        <w:numPr>
          <w:ilvl w:val="1"/>
          <w:numId w:val="236"/>
        </w:numPr>
        <w:ind w:left="0" w:hanging="0"/>
        <w:rPr/>
      </w:pPr>
      <w:r>
        <w:rPr/>
        <w:t>A extinção do contrato não configura óbice para o reconhecimento do desequilíbrio econômico-financeiro, hipótese em que será concedida indenização por meio de termo indenizatório (</w:t>
      </w:r>
      <w:r>
        <w:fldChar w:fldCharType="begin"/>
      </w:r>
      <w:r>
        <w:rPr>
          <w:rStyle w:val="LinkdaInternet"/>
        </w:rPr>
        <w:instrText> HYPERLINK "http://www.planalto.gov.br/ccivil_03/_ato2019-2022/2021/lei/L14133.htm" \l "art131"</w:instrText>
      </w:r>
      <w:r>
        <w:rPr>
          <w:rStyle w:val="LinkdaInternet"/>
        </w:rPr>
        <w:fldChar w:fldCharType="separate"/>
      </w:r>
      <w:r>
        <w:rPr>
          <w:rStyle w:val="LinkdaInternet"/>
        </w:rPr>
        <w:t xml:space="preserve">art. 131, </w:t>
      </w:r>
      <w:r>
        <w:rPr>
          <w:rStyle w:val="LinkdaInternet"/>
        </w:rPr>
        <w:fldChar w:fldCharType="end"/>
      </w:r>
      <w:r>
        <w:rPr>
          <w:rStyle w:val="LinkdaInternet"/>
          <w:i/>
          <w:iCs/>
        </w:rPr>
        <w:t xml:space="preserve">caput, </w:t>
      </w:r>
      <w:r>
        <w:rPr>
          <w:rStyle w:val="LinkdaInternet"/>
        </w:rPr>
        <w:t>da Lei n.º 14.133, de 2021).</w:t>
      </w:r>
      <w:r>
        <w:rPr/>
        <w:t xml:space="preserve"> </w:t>
      </w:r>
    </w:p>
    <w:p>
      <w:pPr>
        <w:pStyle w:val="Nivel2"/>
        <w:numPr>
          <w:ilvl w:val="1"/>
          <w:numId w:val="237"/>
        </w:numPr>
        <w:ind w:left="0" w:hanging="0"/>
        <w:rPr/>
      </w:pPr>
      <w: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238"/>
        </w:numPr>
        <w:ind w:left="0" w:hanging="0"/>
        <w:rPr/>
      </w:pPr>
      <w:r>
        <w:rPr/>
        <w:t>CLÁUSULA DÉCIMA QUARTA – DOTAÇÃO ORÇAMENTÁRIA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VIII</w:t>
      </w:r>
      <w:r>
        <w:rPr>
          <w:rStyle w:val="LinkdaInternet"/>
        </w:rPr>
        <w:fldChar w:fldCharType="end"/>
      </w:r>
      <w:r>
        <w:rPr/>
        <w:t>)</w:t>
      </w:r>
    </w:p>
    <w:p>
      <w:pPr>
        <w:pStyle w:val="Nivel2"/>
        <w:numPr>
          <w:ilvl w:val="1"/>
          <w:numId w:val="239"/>
        </w:numPr>
        <w:ind w:left="0" w:hanging="0"/>
        <w:rPr>
          <w:strike/>
        </w:rPr>
      </w:pPr>
      <w:r>
        <w:rPr>
          <w:strike/>
        </w:rPr>
        <w:t>As despesas decorrentes da presente contratação correrão à conta de recursos específicos consignados no Orçamento Geral da União deste exercício, na dotação abaixo discriminada:</w:t>
      </w:r>
    </w:p>
    <w:p>
      <w:pPr>
        <w:pStyle w:val="Normal"/>
        <w:numPr>
          <w:ilvl w:val="1"/>
          <w:numId w:val="2"/>
        </w:numPr>
        <w:suppressAutoHyphens w:val="true"/>
        <w:spacing w:lineRule="auto" w:line="276" w:before="120" w:after="120"/>
        <w:ind w:left="284" w:firstLine="1134"/>
        <w:jc w:val="both"/>
        <w:rPr>
          <w:strike/>
        </w:rPr>
      </w:pPr>
      <w:r>
        <w:rPr>
          <w:rFonts w:eastAsia="Arial" w:cs="Arial" w:ascii="Arial" w:hAnsi="Arial"/>
          <w:strike/>
          <w:sz w:val="20"/>
          <w:szCs w:val="20"/>
        </w:rPr>
        <w:t xml:space="preserve">Gestão/Unidade: </w:t>
      </w:r>
    </w:p>
    <w:p>
      <w:pPr>
        <w:pStyle w:val="Normal"/>
        <w:numPr>
          <w:ilvl w:val="1"/>
          <w:numId w:val="2"/>
        </w:numPr>
        <w:suppressAutoHyphens w:val="true"/>
        <w:spacing w:lineRule="auto" w:line="276" w:before="120" w:after="120"/>
        <w:ind w:left="284" w:firstLine="1134"/>
        <w:jc w:val="both"/>
        <w:rPr>
          <w:strike/>
        </w:rPr>
      </w:pPr>
      <w:r>
        <w:rPr>
          <w:rFonts w:eastAsia="Arial" w:cs="Arial" w:ascii="Arial" w:hAnsi="Arial"/>
          <w:strike/>
          <w:sz w:val="20"/>
          <w:szCs w:val="20"/>
        </w:rPr>
        <w:t xml:space="preserve">Fonte de Recursos:  </w:t>
      </w:r>
    </w:p>
    <w:p>
      <w:pPr>
        <w:pStyle w:val="Normal"/>
        <w:numPr>
          <w:ilvl w:val="1"/>
          <w:numId w:val="2"/>
        </w:numPr>
        <w:suppressAutoHyphens w:val="true"/>
        <w:spacing w:lineRule="auto" w:line="276" w:before="120" w:after="120"/>
        <w:ind w:left="284" w:firstLine="1134"/>
        <w:jc w:val="both"/>
        <w:rPr>
          <w:strike/>
        </w:rPr>
      </w:pPr>
      <w:r>
        <w:rPr>
          <w:rFonts w:eastAsia="Arial" w:cs="Arial" w:ascii="Arial" w:hAnsi="Arial"/>
          <w:strike/>
          <w:sz w:val="20"/>
          <w:szCs w:val="20"/>
        </w:rPr>
        <w:t xml:space="preserve">Programa de Trabalho: </w:t>
      </w:r>
    </w:p>
    <w:p>
      <w:pPr>
        <w:pStyle w:val="Normal"/>
        <w:numPr>
          <w:ilvl w:val="1"/>
          <w:numId w:val="2"/>
        </w:numPr>
        <w:suppressAutoHyphens w:val="true"/>
        <w:spacing w:lineRule="auto" w:line="276" w:before="120" w:after="120"/>
        <w:ind w:left="284" w:firstLine="1134"/>
        <w:jc w:val="both"/>
        <w:rPr>
          <w:strike/>
        </w:rPr>
      </w:pPr>
      <w:r>
        <w:rPr>
          <w:rFonts w:eastAsia="Arial" w:cs="Arial" w:ascii="Arial" w:hAnsi="Arial"/>
          <w:strike/>
          <w:sz w:val="20"/>
          <w:szCs w:val="20"/>
        </w:rPr>
        <w:t xml:space="preserve">Elemento de Despesa: </w:t>
      </w:r>
    </w:p>
    <w:p>
      <w:pPr>
        <w:pStyle w:val="Normal"/>
        <w:numPr>
          <w:ilvl w:val="1"/>
          <w:numId w:val="2"/>
        </w:numPr>
        <w:suppressAutoHyphens w:val="true"/>
        <w:spacing w:lineRule="auto" w:line="276" w:before="120" w:after="120"/>
        <w:ind w:left="284" w:firstLine="1134"/>
        <w:jc w:val="both"/>
        <w:rPr>
          <w:strike/>
        </w:rPr>
      </w:pPr>
      <w:r>
        <w:rPr>
          <w:rFonts w:eastAsia="Arial" w:cs="Arial" w:ascii="Arial" w:hAnsi="Arial"/>
          <w:strike/>
          <w:sz w:val="20"/>
          <w:szCs w:val="20"/>
        </w:rPr>
        <w:t xml:space="preserve">Plano Interno: </w:t>
      </w:r>
    </w:p>
    <w:p>
      <w:pPr>
        <w:pStyle w:val="Normal"/>
        <w:numPr>
          <w:ilvl w:val="1"/>
          <w:numId w:val="2"/>
        </w:numPr>
        <w:suppressAutoHyphens w:val="true"/>
        <w:spacing w:lineRule="auto" w:line="276" w:before="120" w:after="120"/>
        <w:ind w:left="284" w:firstLine="1134"/>
        <w:jc w:val="both"/>
        <w:rPr>
          <w:strike/>
        </w:rPr>
      </w:pPr>
      <w:r>
        <w:rPr>
          <w:rFonts w:eastAsia="Arial" w:cs="Arial" w:ascii="Arial" w:hAnsi="Arial"/>
          <w:strike/>
          <w:sz w:val="20"/>
          <w:szCs w:val="20"/>
        </w:rPr>
        <w:t>Nota de Empenho:</w:t>
      </w:r>
    </w:p>
    <w:p>
      <w:pPr>
        <w:pStyle w:val="Nvel2Red"/>
        <w:numPr>
          <w:ilvl w:val="1"/>
          <w:numId w:val="240"/>
        </w:numPr>
        <w:ind w:left="0" w:hanging="0"/>
        <w:rPr/>
      </w:pPr>
      <w:r>
        <w:rPr>
          <w:strike/>
        </w:rPr>
        <w:t>A dotação relativa aos exercícios financeiros subsequentes será indicada após aprovação da Lei Orçamentária respectiva e liberação dos créditos correspondentes, mediante apostilamento.</w:t>
      </w:r>
    </w:p>
    <w:p>
      <w:pPr>
        <w:pStyle w:val="Nivel01"/>
        <w:numPr>
          <w:ilvl w:val="0"/>
          <w:numId w:val="241"/>
        </w:numPr>
        <w:ind w:left="0" w:hanging="0"/>
        <w:rPr/>
      </w:pPr>
      <w:r>
        <w:rPr/>
        <w:t>CLÁUSULA DÉCIMA QUINTA – DOS CASOS OMISSOS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III</w:t>
      </w:r>
      <w:r>
        <w:rPr>
          <w:rStyle w:val="LinkdaInternet"/>
        </w:rPr>
        <w:fldChar w:fldCharType="end"/>
      </w:r>
      <w:r>
        <w:rPr/>
        <w:t>)</w:t>
      </w:r>
    </w:p>
    <w:p>
      <w:pPr>
        <w:pStyle w:val="Nivel2"/>
        <w:numPr>
          <w:ilvl w:val="1"/>
          <w:numId w:val="242"/>
        </w:numPr>
        <w:ind w:left="0" w:hanging="0"/>
        <w:rPr/>
      </w:pPr>
      <w:r>
        <w:rPr/>
        <w:t xml:space="preserve">Os casos omissos serão decididos pelo contratante, segundo as disposições contidas na </w:t>
      </w:r>
      <w:hyperlink r:id="rId8">
        <w:r>
          <w:rPr>
            <w:rStyle w:val="LinkdaInternet"/>
          </w:rPr>
          <w:t>Lei nº 14.133, de 2021</w:t>
        </w:r>
      </w:hyperlink>
      <w:r>
        <w:rPr/>
        <w:t xml:space="preserve">, e demais normas federais aplicáveis e, subsidiariamente, segundo as disposições contidas na </w:t>
      </w:r>
      <w:hyperlink r:id="rId9">
        <w:r>
          <w:rPr>
            <w:rStyle w:val="LinkdaInternet"/>
          </w:rPr>
          <w:t>Lei nº 8.078, de 1990 – Código de Defesa do Consumidor</w:t>
        </w:r>
      </w:hyperlink>
      <w:r>
        <w:rPr/>
        <w:t xml:space="preserve"> – e normas e princípios gerais dos contratos.</w:t>
      </w:r>
    </w:p>
    <w:p>
      <w:pPr>
        <w:pStyle w:val="Nivel01"/>
        <w:numPr>
          <w:ilvl w:val="0"/>
          <w:numId w:val="243"/>
        </w:numPr>
        <w:ind w:left="0" w:hanging="0"/>
        <w:rPr/>
      </w:pPr>
      <w:r>
        <w:rPr/>
        <w:t>CLÁUSULA DÉCIMA SEXTA – ALTERAÇÕES</w:t>
      </w:r>
    </w:p>
    <w:p>
      <w:pPr>
        <w:pStyle w:val="Nivel2"/>
        <w:numPr>
          <w:ilvl w:val="1"/>
          <w:numId w:val="244"/>
        </w:numPr>
        <w:ind w:left="0" w:hanging="0"/>
        <w:rPr/>
      </w:pPr>
      <w:r>
        <w:rPr/>
        <w:t xml:space="preserve">Eventuais alterações contratuais reger-se-ão pela disciplina dos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arts. 124 e seguintes da Lei nº 14.133, de 2021</w:t>
      </w:r>
      <w:r>
        <w:rPr>
          <w:rStyle w:val="LinkdaInternet"/>
        </w:rPr>
        <w:fldChar w:fldCharType="end"/>
      </w:r>
      <w:r>
        <w:rPr/>
        <w:t>.</w:t>
      </w:r>
    </w:p>
    <w:p>
      <w:pPr>
        <w:pStyle w:val="Nivel2"/>
        <w:numPr>
          <w:ilvl w:val="1"/>
          <w:numId w:val="245"/>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46"/>
        </w:numPr>
        <w:ind w:left="0" w:hanging="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247"/>
        </w:numPr>
        <w:ind w:left="0" w:hanging="0"/>
        <w:rPr/>
      </w:pPr>
      <w:r>
        <w:rPr/>
        <w:t xml:space="preserve">Registros que não caracterizam alteração do contrato podem ser realizados por simples apostila, dispensada a celebração de termo aditivo, na forma do </w:t>
      </w:r>
      <w:r>
        <w:fldChar w:fldCharType="begin"/>
      </w:r>
      <w:r>
        <w:rPr>
          <w:rStyle w:val="LinkdaInternet"/>
        </w:rPr>
        <w:instrText> HYPERLINK "http://www.planalto.gov.br/ccivil_03/_ato2019-2022/2021/lei/L14133.htm" \l "art136"</w:instrText>
      </w:r>
      <w:r>
        <w:rPr>
          <w:rStyle w:val="LinkdaInternet"/>
        </w:rPr>
        <w:fldChar w:fldCharType="separate"/>
      </w:r>
      <w:r>
        <w:rPr>
          <w:rStyle w:val="LinkdaInternet"/>
        </w:rPr>
        <w:t>art. 136 da Lei nº 14.133, de 2021</w:t>
      </w:r>
      <w:r>
        <w:rPr>
          <w:rStyle w:val="LinkdaInternet"/>
        </w:rPr>
        <w:fldChar w:fldCharType="end"/>
      </w:r>
      <w:r>
        <w:rPr/>
        <w:t>.</w:t>
      </w:r>
    </w:p>
    <w:p>
      <w:pPr>
        <w:pStyle w:val="Nivel01"/>
        <w:numPr>
          <w:ilvl w:val="0"/>
          <w:numId w:val="248"/>
        </w:numPr>
        <w:ind w:left="0" w:hanging="0"/>
        <w:rPr/>
      </w:pPr>
      <w:r>
        <w:rPr/>
        <w:t>CLÁUSULA DÉCIMA SÉTIMA – PUBLICAÇÃO</w:t>
      </w:r>
    </w:p>
    <w:p>
      <w:pPr>
        <w:pStyle w:val="Nivel2"/>
        <w:numPr>
          <w:ilvl w:val="1"/>
          <w:numId w:val="249"/>
        </w:numPr>
        <w:ind w:left="0" w:hanging="0"/>
        <w:rPr/>
      </w:pPr>
      <w:r>
        <w:rPr/>
        <w:t xml:space="preserve">Incumbirá ao contratante divulgar o presente instrumento no Portal Nacional de Contratações Públicas (PNCP), na forma prevista no </w:t>
      </w:r>
      <w:r>
        <w:fldChar w:fldCharType="begin"/>
      </w:r>
      <w:r>
        <w:rPr>
          <w:rStyle w:val="LinkdaInternet"/>
        </w:rPr>
        <w:instrText> HYPERLINK "http://www.planalto.gov.br/ccivil_03/_ato2019-2022/2021/lei/L14133.htm" \l "art94"</w:instrText>
      </w:r>
      <w:r>
        <w:rPr>
          <w:rStyle w:val="LinkdaInternet"/>
        </w:rPr>
        <w:fldChar w:fldCharType="separate"/>
      </w:r>
      <w:r>
        <w:rPr>
          <w:rStyle w:val="LinkdaInternet"/>
        </w:rPr>
        <w:t>art. 94 da Lei 14.133, de 2021</w:t>
      </w:r>
      <w:r>
        <w:rPr>
          <w:rStyle w:val="LinkdaInternet"/>
        </w:rPr>
        <w:fldChar w:fldCharType="end"/>
      </w:r>
      <w:r>
        <w:rPr/>
        <w:t xml:space="preserve">, bem como no respectivo sítio oficial na Internet, em atenção ao art. 91, </w:t>
      </w:r>
      <w:r>
        <w:rPr>
          <w:i/>
          <w:iCs/>
        </w:rPr>
        <w:t>caput,</w:t>
      </w:r>
      <w:r>
        <w:rPr/>
        <w:t xml:space="preserve"> da Lei n.º 14.133, de 2021, e ao </w:t>
      </w:r>
      <w:r>
        <w:fldChar w:fldCharType="begin"/>
      </w:r>
      <w:r>
        <w:rPr>
          <w:rStyle w:val="LinkdaInternet"/>
        </w:rPr>
        <w:instrText> HYPERLINK "https://www.planalto.gov.br/ccivil_03/_ato2011-2014/2011/lei/l12527.htm" \l "art8§2"</w:instrText>
      </w:r>
      <w:r>
        <w:rPr>
          <w:rStyle w:val="LinkdaInternet"/>
        </w:rPr>
        <w:fldChar w:fldCharType="separate"/>
      </w:r>
      <w:r>
        <w:rPr>
          <w:rStyle w:val="LinkdaInternet"/>
        </w:rPr>
        <w:t>art. 8º, §2º, da Lei n. 12.527, de 2011</w:t>
      </w:r>
      <w:r>
        <w:rPr>
          <w:rStyle w:val="LinkdaInternet"/>
        </w:rPr>
        <w:fldChar w:fldCharType="end"/>
      </w:r>
      <w:r>
        <w:rPr/>
        <w:t xml:space="preserve">, c/c </w:t>
      </w:r>
      <w:r>
        <w:fldChar w:fldCharType="begin"/>
      </w:r>
      <w:r>
        <w:rPr>
          <w:rStyle w:val="LinkdaInternet"/>
        </w:rPr>
        <w:instrText> HYPERLINK "https://www.planalto.gov.br/ccivil_03/_ato2011-2014/2012/decreto/d7724.htm" \l "art7§3"</w:instrText>
      </w:r>
      <w:r>
        <w:rPr>
          <w:rStyle w:val="LinkdaInternet"/>
        </w:rPr>
        <w:fldChar w:fldCharType="separate"/>
      </w:r>
      <w:r>
        <w:rPr>
          <w:rStyle w:val="LinkdaInternet"/>
        </w:rPr>
        <w:t>art. 7º, §3º, inciso V, do Decreto n. 7.724, de 2012.</w:t>
      </w:r>
      <w:r>
        <w:rPr>
          <w:rStyle w:val="LinkdaInternet"/>
        </w:rPr>
        <w:fldChar w:fldCharType="end"/>
      </w:r>
      <w:r>
        <w:rPr/>
        <w:t xml:space="preserve"> </w:t>
      </w:r>
    </w:p>
    <w:p>
      <w:pPr>
        <w:pStyle w:val="Nivel01"/>
        <w:numPr>
          <w:ilvl w:val="0"/>
          <w:numId w:val="250"/>
        </w:numPr>
        <w:ind w:left="0" w:hanging="0"/>
        <w:rPr/>
      </w:pPr>
      <w:r>
        <w:rPr/>
        <w:t>CLÁUSULA DÉCIMA OITAVA– FORO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w:t>
      </w:r>
      <w:r>
        <w:rPr>
          <w:rStyle w:val="LinkdaInternet"/>
        </w:rPr>
        <w:fldChar w:fldCharType="end"/>
      </w:r>
      <w:r>
        <w:rPr/>
        <w:t>)</w:t>
      </w:r>
    </w:p>
    <w:p>
      <w:pPr>
        <w:pStyle w:val="Nivel2"/>
        <w:numPr>
          <w:ilvl w:val="1"/>
          <w:numId w:val="251"/>
        </w:numPr>
        <w:ind w:left="0" w:hanging="0"/>
        <w:rPr/>
      </w:pPr>
      <w:r>
        <w:rPr>
          <w:rStyle w:val="LinkdaInternet"/>
          <w:color w:val="000000"/>
          <w:u w:val="none"/>
          <w:lang w:eastAsia="en-US"/>
        </w:rPr>
        <w:t>Fica eleito o Foro da Justiça Federal do Estado do Pará</w:t>
      </w:r>
      <w:r>
        <w:rPr>
          <w:rStyle w:val="LinkdaInternet"/>
          <w:u w:val="none"/>
        </w:rPr>
        <w:t xml:space="preserve">, </w:t>
      </w:r>
      <w:r>
        <w:rPr>
          <w:rStyle w:val="LinkdaInternet"/>
          <w:b w:val="false"/>
          <w:bCs w:val="false"/>
          <w:color w:val="000000"/>
          <w:u w:val="none"/>
        </w:rPr>
        <w:t>Seção Judiciária de Belém para dirimir os litígios que decorrerem da execução deste Termo de Contrato que não puderem ser compostos pela conciliação, conforme</w:t>
      </w:r>
      <w:r>
        <w:rPr>
          <w:rStyle w:val="LinkdaInternet"/>
        </w:rPr>
        <w:t xml:space="preserve">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 da Lei nº 14.133/21</w:t>
      </w:r>
      <w:r>
        <w:rPr>
          <w:rStyle w:val="LinkdaInternet"/>
        </w:rPr>
        <w:fldChar w:fldCharType="end"/>
      </w:r>
      <w:r>
        <w:rPr>
          <w:rStyle w:val="LinkdaInternet"/>
        </w:rPr>
        <w:t>.</w:t>
      </w:r>
    </w:p>
    <w:p>
      <w:pPr>
        <w:pStyle w:val="Nivel2"/>
        <w:numPr>
          <w:ilvl w:val="0"/>
          <w:numId w:val="0"/>
        </w:numPr>
        <w:spacing w:lineRule="auto" w:line="312" w:before="120" w:after="288"/>
        <w:ind w:left="0" w:firstLine="709"/>
        <w:rPr>
          <w:i/>
          <w:i/>
          <w:iCs/>
          <w:color w:val="FF0000"/>
        </w:rPr>
      </w:pPr>
      <w:r>
        <w:rPr>
          <w:i/>
          <w:iCs/>
          <w:color w:val="FF0000"/>
        </w:rPr>
      </w:r>
    </w:p>
    <w:p>
      <w:pPr>
        <w:pStyle w:val="Nivel2"/>
        <w:ind w:left="0" w:hanging="0"/>
        <w:jc w:val="center"/>
        <w:rPr/>
      </w:pPr>
      <w:r>
        <w:rPr>
          <w:rStyle w:val="LinkdaInternet"/>
          <w:color w:val="000000"/>
          <w:u w:val="none"/>
        </w:rPr>
        <w:t>Belém-PA,   de      de 2024.</w:t>
      </w:r>
    </w:p>
    <w:p>
      <w:pPr>
        <w:pStyle w:val="Nivel2"/>
        <w:numPr>
          <w:ilvl w:val="0"/>
          <w:numId w:val="0"/>
        </w:numPr>
        <w:spacing w:lineRule="auto" w:line="312" w:before="120" w:after="288"/>
        <w:ind w:left="0" w:firstLine="709"/>
        <w:rPr>
          <w:i/>
          <w:i/>
          <w:iCs/>
          <w:color w:val="FF0000"/>
        </w:rPr>
      </w:pPr>
      <w:r>
        <w:rPr>
          <w:i/>
          <w:iCs/>
          <w:color w:val="FF0000"/>
        </w:rPr>
      </w:r>
    </w:p>
    <w:p>
      <w:pPr>
        <w:pStyle w:val="Normal"/>
        <w:jc w:val="center"/>
        <w:rPr>
          <w:rFonts w:ascii="Times New Roman" w:hAnsi="Times New Roman" w:eastAsia="Times New Roman" w:cs="Times New Roman"/>
          <w:b/>
          <w:b/>
          <w:color w:val="auto"/>
          <w:kern w:val="0"/>
          <w:sz w:val="22"/>
          <w:szCs w:val="22"/>
          <w:lang w:val="pt-BR" w:eastAsia="pt-BR" w:bidi="ar-SA"/>
        </w:rPr>
      </w:pPr>
      <w:r>
        <w:rPr>
          <w:rFonts w:eastAsia="Times New Roman" w:cs="Times New Roman" w:ascii="Times New Roman" w:hAnsi="Times New Roman"/>
          <w:b/>
          <w:color w:val="auto"/>
          <w:kern w:val="0"/>
          <w:sz w:val="22"/>
          <w:szCs w:val="22"/>
          <w:lang w:val="pt-BR" w:eastAsia="pt-BR" w:bidi="ar-SA"/>
        </w:rPr>
        <w:t>MARCUS VINICIUS LOPES RODRIGUES – Cel</w:t>
      </w:r>
    </w:p>
    <w:p>
      <w:pPr>
        <w:pStyle w:val="Normal"/>
        <w:numPr>
          <w:ilvl w:val="0"/>
          <w:numId w:val="0"/>
        </w:numPr>
        <w:spacing w:lineRule="auto" w:line="312" w:before="120" w:after="288"/>
        <w:ind w:left="0" w:firstLine="567"/>
        <w:jc w:val="center"/>
        <w:rPr>
          <w:rFonts w:ascii="Times New Roman" w:hAnsi="Times New Roman" w:eastAsia="Times New Roman" w:cs="Times New Roman"/>
          <w:bCs/>
          <w:i/>
          <w:i/>
          <w:iCs/>
          <w:color w:val="auto"/>
          <w:kern w:val="0"/>
          <w:sz w:val="22"/>
          <w:szCs w:val="22"/>
          <w:lang w:val="pt-BR" w:eastAsia="pt-BR" w:bidi="ar-SA"/>
        </w:rPr>
      </w:pPr>
      <w:r>
        <w:rPr>
          <w:rFonts w:eastAsia="Times New Roman" w:cs="Times New Roman" w:ascii="Times New Roman" w:hAnsi="Times New Roman"/>
          <w:bCs/>
          <w:i/>
          <w:iCs/>
          <w:color w:val="auto"/>
          <w:kern w:val="0"/>
          <w:sz w:val="22"/>
          <w:szCs w:val="22"/>
          <w:lang w:val="pt-BR" w:eastAsia="pt-BR" w:bidi="ar-SA"/>
        </w:rPr>
        <w:t>Comandante do 8º Batalhão  de Manutenção de Selva</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_________________________</w:t>
      </w:r>
    </w:p>
    <w:p>
      <w:pPr>
        <w:pStyle w:val="Normal"/>
        <w:numPr>
          <w:ilvl w:val="0"/>
          <w:numId w:val="0"/>
        </w:numPr>
        <w:spacing w:lineRule="auto" w:line="312" w:before="120" w:after="288"/>
        <w:ind w:left="0" w:firstLine="709"/>
        <w:jc w:val="center"/>
        <w:rPr>
          <w:rFonts w:ascii="Arial" w:hAnsi="Arial" w:cs="Arial"/>
          <w:bCs/>
          <w:sz w:val="20"/>
          <w:szCs w:val="20"/>
        </w:rPr>
      </w:pPr>
      <w:r>
        <w:rPr>
          <w:rFonts w:cs="Arial" w:ascii="Arial" w:hAnsi="Arial"/>
          <w:bCs/>
          <w:i/>
          <w:iCs/>
          <w:color w:val="FF0000"/>
          <w:sz w:val="20"/>
          <w:szCs w:val="20"/>
        </w:rPr>
        <w:t>Representante legal do CONTRATANTE</w:t>
      </w:r>
    </w:p>
    <w:p>
      <w:pPr>
        <w:pStyle w:val="Normal"/>
        <w:spacing w:lineRule="auto" w:line="312" w:before="120" w:after="288"/>
        <w:ind w:firstLine="709"/>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709"/>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709"/>
        <w:rPr>
          <w:rFonts w:ascii="Arial" w:hAnsi="Arial" w:cs="Arial"/>
          <w:i/>
          <w:i/>
          <w:iCs/>
          <w:color w:val="FF0000"/>
          <w:sz w:val="20"/>
          <w:szCs w:val="20"/>
        </w:rPr>
      </w:pPr>
      <w:r>
        <w:rPr>
          <w:rFonts w:cs="Arial" w:ascii="Arial" w:hAnsi="Arial"/>
          <w:i/>
          <w:iCs/>
          <w:color w:val="FF0000"/>
          <w:sz w:val="20"/>
          <w:szCs w:val="20"/>
        </w:rPr>
        <w:t>2-</w:t>
      </w:r>
    </w:p>
    <w:sectPr>
      <w:headerReference w:type="default" r:id="rId10"/>
      <w:footerReference w:type="default" r:id="rId11"/>
      <w:type w:val="nextPage"/>
      <w:pgSz w:w="11906" w:h="16838"/>
      <w:pgMar w:left="1134" w:right="1134" w:header="709" w:top="1418" w:footer="709"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059488509"/>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rFonts w:ascii="Arial" w:hAnsi="Arial" w:cs="Arial"/>
            <w:color w:val="7F7F7F" w:themeColor="text1" w:themeTint="80"/>
            <w:sz w:val="18"/>
            <w:szCs w:val="18"/>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11</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11</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rPr>
        </w:pPr>
        <w:r>
          <w:rPr>
            <w:rFonts w:cs="Arial" w:ascii="Arial" w:hAnsi="Arial"/>
            <w:sz w:val="14"/>
            <w:szCs w:val="14"/>
          </w:rPr>
          <w:t>Identidade visual pela Secretaria de Gestão e Inovação</w:t>
        </w:r>
      </w:p>
    </w:sdtContent>
  </w:sdt>
  <w:p>
    <w:pPr>
      <w:pStyle w:val="Rodap"/>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15112" w:type="dxa"/>
      <w:jc w:val="left"/>
      <w:tblInd w:w="3828" w:type="dxa"/>
      <w:tblCellMar>
        <w:top w:w="0" w:type="dxa"/>
        <w:left w:w="108" w:type="dxa"/>
        <w:bottom w:w="0" w:type="dxa"/>
        <w:right w:w="108" w:type="dxa"/>
      </w:tblCellMar>
      <w:tblLook w:val="06a0" w:noHBand="1" w:noVBand="1" w:firstColumn="1" w:lastRow="0" w:lastColumn="0" w:firstRow="1"/>
    </w:tblPr>
    <w:tblGrid>
      <w:gridCol w:w="9070"/>
      <w:gridCol w:w="3022"/>
      <w:gridCol w:w="3020"/>
    </w:tblGrid>
    <w:tr>
      <w:trPr>
        <w:trHeight w:val="300" w:hRule="atLeast"/>
      </w:trPr>
      <w:tc>
        <w:tcPr>
          <w:tcW w:w="9070" w:type="dxa"/>
          <w:tcBorders/>
        </w:tcPr>
        <w:p>
          <w:pPr>
            <w:pStyle w:val="Cabealho"/>
            <w:ind w:left="-115" w:hanging="0"/>
            <w:rPr>
              <w:rFonts w:ascii="Arial" w:hAnsi="Arial" w:cs="Arial"/>
              <w:sz w:val="20"/>
              <w:szCs w:val="20"/>
            </w:rPr>
          </w:pPr>
          <w:r>
            <w:rPr>
              <w:rFonts w:cs="Arial" w:ascii="Arial" w:hAnsi="Arial"/>
              <w:sz w:val="20"/>
              <w:szCs w:val="20"/>
            </w:rPr>
            <w:t>TERMO DE CONTRATO ADMINISTRATIVO Nº XXXX/XXXX</w:t>
          </w:r>
        </w:p>
        <w:p>
          <w:pPr>
            <w:pStyle w:val="Cabealho"/>
            <w:ind w:left="-115" w:hanging="0"/>
            <w:rPr/>
          </w:pPr>
          <w:r>
            <w:rPr/>
          </w:r>
        </w:p>
      </w:tc>
      <w:tc>
        <w:tcPr>
          <w:tcW w:w="3022" w:type="dxa"/>
          <w:tcBorders/>
        </w:tcPr>
        <w:p>
          <w:pPr>
            <w:pStyle w:val="Cabealho"/>
            <w:jc w:val="center"/>
            <w:rPr/>
          </w:pPr>
          <w:r>
            <w:rPr/>
          </w:r>
        </w:p>
      </w:tc>
      <w:tc>
        <w:tcPr>
          <w:tcW w:w="3020" w:type="dxa"/>
          <w:tcBorders/>
        </w:tcPr>
        <w:p>
          <w:pPr>
            <w:pStyle w:val="Cabealho"/>
            <w:ind w:right="-115" w:hanging="0"/>
            <w:jc w:val="right"/>
            <w:rPr/>
          </w:pPr>
          <w:r>
            <w:rPr/>
          </w:r>
        </w:p>
      </w:tc>
    </w:tr>
  </w:tbl>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8">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9">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0">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1">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2">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3">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4">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5">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6">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7">
    <w:lvl w:ilvl="0">
      <w:start w:val="1"/>
      <w:numFmt w:val="decimal"/>
      <w:lvlText w:val="%1.%2."/>
      <w:lvlJc w:val="left"/>
      <w:pPr>
        <w:tabs>
          <w:tab w:val="num" w:pos="0"/>
        </w:tabs>
        <w:ind w:left="496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5"/>
    <w:lvlOverride w:ilvl="0">
      <w:startOverride w:val="1"/>
    </w:lvlOverride>
  </w:num>
  <w:num w:numId="130">
    <w:abstractNumId w:val="5"/>
    <w:lvlOverride w:ilvl="1">
      <w:startOverride w:val="1"/>
    </w:lvlOverride>
  </w:num>
  <w:num w:numId="131">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32">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33">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34">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35">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36">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37">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38">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39">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0">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1">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2">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3">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4">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5">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6">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7">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8">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9">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0">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1">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2">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3">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4">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5">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6">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7">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8">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9">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0">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1">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2">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3">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4">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5">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6">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7">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8">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9">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0">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1">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2">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3">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4">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5">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6">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7">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8">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9">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0">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1">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2">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3">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4">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5">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6">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7">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8">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9">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0">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1">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2">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3">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4">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5">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6">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7">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8">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9">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0">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1">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2">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3">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4">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5">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6">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7">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8">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9">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0">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1">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2">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3">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4">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5">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6">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7">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8">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9">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0">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1">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2">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3">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4">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5">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6">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7">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8">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9">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0">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1">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2">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3">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4">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5">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6">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7">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8">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9">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0">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1">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2">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3">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4">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5">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6">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7">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8">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9">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50">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51">
    <w:abstractNumId w:val="5"/>
    <w:lvlOverride w:ilvl="0">
      <w:lvl w:ilvl="0">
        <w:start w:val="1"/>
        <w:numFmt w:val="decimal"/>
        <w:lvlText w:val="%1.%2."/>
        <w:lvlJc w:val="left"/>
        <w:pPr>
          <w:tabs>
            <w:tab w:val="num" w:pos="0"/>
          </w:tabs>
          <w:ind w:left="496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1958d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1958d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1958d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1958d0"/>
    <w:rPr>
      <w:rFonts w:ascii="Arial" w:hAnsi="Arial" w:cs="Arial"/>
      <w:color w:val="000000"/>
      <w:lang w:eastAsia="pt-BR"/>
    </w:rPr>
  </w:style>
  <w:style w:type="character" w:styleId="Nvel3RChar" w:customStyle="1">
    <w:name w:val="Nível 3-R Char"/>
    <w:basedOn w:val="Nivel3Char"/>
    <w:link w:val="Nvel3-R"/>
    <w:qFormat/>
    <w:rsid w:val="001958d0"/>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UnresolvedMention1" w:customStyle="1">
    <w:name w:val="Unresolved Mention1"/>
    <w:basedOn w:val="DefaultParagraphFont"/>
    <w:uiPriority w:val="99"/>
    <w:semiHidden/>
    <w:unhideWhenUsed/>
    <w:qFormat/>
    <w:rsid w:val="00824eb5"/>
    <w:rPr>
      <w:color w:val="605E5C"/>
      <w:shd w:fill="E1DFDD" w:val="clear"/>
    </w:rPr>
  </w:style>
  <w:style w:type="character" w:styleId="UnresolvedMention">
    <w:name w:val="Unresolved Mention"/>
    <w:basedOn w:val="DefaultParagraphFont"/>
    <w:uiPriority w:val="99"/>
    <w:semiHidden/>
    <w:unhideWhenUsed/>
    <w:qFormat/>
    <w:rsid w:val="004d7421"/>
    <w:rPr>
      <w:color w:val="605E5C"/>
      <w:shd w:fill="E1DFDD" w:val="clear"/>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1958d0"/>
    <w:p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1958d0"/>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1958d0"/>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1958d0"/>
    <w:pPr>
      <w:ind w:left="567" w:hanging="0"/>
    </w:pPr>
    <w:rPr>
      <w:color w:val="auto"/>
    </w:rPr>
  </w:style>
  <w:style w:type="paragraph" w:styleId="Nivel5" w:customStyle="1">
    <w:name w:val="Nivel 5"/>
    <w:basedOn w:val="Nivel4"/>
    <w:qFormat/>
    <w:rsid w:val="001958d0"/>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1958d0"/>
    <w:pPr/>
    <w:rPr>
      <w:i/>
      <w:iCs/>
      <w:color w:val="FF0000"/>
    </w:rPr>
  </w:style>
  <w:style w:type="paragraph" w:styleId="Nvel4R" w:customStyle="1">
    <w:name w:val="Nível 4-R"/>
    <w:basedOn w:val="Nivel4"/>
    <w:link w:val="Nvel4-RChar"/>
    <w:qFormat/>
    <w:rsid w:val="00031dbe"/>
    <w:pPr>
      <w:ind w:left="2491" w:hanging="648"/>
    </w:pPr>
    <w:rPr>
      <w:i/>
      <w:iCs/>
      <w:color w:val="FF0000"/>
    </w:rPr>
  </w:style>
  <w:style w:type="paragraph" w:styleId="Nvel1SemNum" w:customStyle="1">
    <w:name w:val="Nível 1-Sem Num"/>
    <w:basedOn w:val="Nivel01"/>
    <w:link w:val="Nvel1-SemNumChar"/>
    <w:qFormat/>
    <w:rsid w:val="00e7273b"/>
    <w:pPr>
      <w:ind w:left="357" w:hanging="0"/>
      <w:outlineLvl w:val="1"/>
    </w:pPr>
    <w:rPr>
      <w:color w:val="FF0000"/>
    </w:rPr>
  </w:style>
  <w:style w:type="paragraph" w:styleId="Citao2" w:customStyle="1">
    <w:name w:val="citação 2"/>
    <w:basedOn w:val="Quote"/>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Western">
    <w:name w:val="western"/>
    <w:basedOn w:val="Normal"/>
    <w:qFormat/>
    <w:pPr>
      <w:keepNext w:val="true"/>
      <w:shd w:val="clear" w:color="auto" w:fill="FFFFFF"/>
      <w:tabs>
        <w:tab w:val="left" w:pos="708" w:leader="none"/>
      </w:tabs>
      <w:spacing w:lineRule="auto" w:line="276" w:before="280" w:after="119"/>
      <w:textAlignment w:val="baseline"/>
    </w:pPr>
    <w:rPr>
      <w:rFonts w:ascii="Times New Roman" w:hAnsi="Times New Roman" w:cs="Times New Roman"/>
      <w:color w:val="000000"/>
      <w:sz w:val="24"/>
    </w:rPr>
  </w:style>
  <w:style w:type="paragraph" w:styleId="Contedodatabela">
    <w:name w:val="Conteúdo da tabela"/>
    <w:basedOn w:val="Normal"/>
    <w:qFormat/>
    <w:pPr>
      <w:suppressLineNumbers/>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s://www.planalto.gov.br/ccivil_03/_ato2011-2014/2013/lei/l12846.htm" TargetMode="External"/><Relationship Id="rId7"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leis/l8078compilado.htm" TargetMode="Externa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Relationship Id="rId1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A8B92-2BE6-45F4-A7F5-0490ECFE5E01}"/>
</file>

<file path=customXml/itemProps2.xml><?xml version="1.0" encoding="utf-8"?>
<ds:datastoreItem xmlns:ds="http://schemas.openxmlformats.org/officeDocument/2006/customXml" ds:itemID="{692018DD-CD91-4DB8-9297-B61715C85DC2}"/>
</file>

<file path=customXml/itemProps3.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4.xml><?xml version="1.0" encoding="utf-8"?>
<ds:datastoreItem xmlns:ds="http://schemas.openxmlformats.org/officeDocument/2006/customXml" ds:itemID="{AA85AC61-5723-4F7D-8D46-C22F68ADEF98}"/>
</file>

<file path=docProps/app.xml><?xml version="1.0" encoding="utf-8"?>
<Properties xmlns="http://schemas.openxmlformats.org/officeDocument/2006/extended-properties" xmlns:vt="http://schemas.openxmlformats.org/officeDocument/2006/docPropsVTypes">
  <Template>Normal.dotm</Template>
  <TotalTime>78</TotalTime>
  <Application>LibreOffice/6.4.7.2$Linux_X86_64 LibreOffice_project/40$Build-2</Application>
  <Pages>10</Pages>
  <Words>4578</Words>
  <Characters>25396</Characters>
  <CharactersWithSpaces>29695</CharactersWithSpaces>
  <Paragraphs>209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2023-05-20T12:26:00Z</dcterms:created>
  <dc:creator/>
  <dc:description/>
  <dc:language>pt-BR</dc:language>
  <cp:lastModifiedBy/>
  <dcterms:modified xsi:type="dcterms:W3CDTF">2024-08-31T16:01:39Z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